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C92EE">
      <w:pPr>
        <w:spacing w:before="50" w:after="50"/>
        <w:jc w:val="left"/>
        <w:rPr>
          <w:rFonts w:ascii="宋体" w:hAnsi="宋体" w:eastAsia="宋体" w:cs="宋体"/>
          <w:b/>
          <w:bCs/>
          <w:color w:val="auto"/>
          <w:kern w:val="0"/>
          <w:sz w:val="48"/>
          <w:szCs w:val="48"/>
          <w:highlight w:val="none"/>
        </w:rPr>
      </w:pPr>
      <w:bookmarkStart w:id="34" w:name="_GoBack"/>
    </w:p>
    <w:p w14:paraId="74A0412C">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福建省政府采购</w:t>
      </w:r>
    </w:p>
    <w:p w14:paraId="14B29D51">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货物和服务项目</w:t>
      </w:r>
    </w:p>
    <w:p w14:paraId="3A69AAE1">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公开招标文件</w:t>
      </w:r>
    </w:p>
    <w:p w14:paraId="0DED59BA">
      <w:pPr>
        <w:jc w:val="center"/>
        <w:rPr>
          <w:rFonts w:cs="宋体" w:asciiTheme="minorEastAsia" w:hAnsiTheme="minorEastAsia"/>
          <w:b/>
          <w:bCs/>
          <w:color w:val="auto"/>
          <w:kern w:val="0"/>
          <w:sz w:val="72"/>
          <w:szCs w:val="53"/>
          <w:highlight w:val="none"/>
        </w:rPr>
      </w:pPr>
    </w:p>
    <w:p w14:paraId="2D52CDED">
      <w:pPr>
        <w:spacing w:line="360" w:lineRule="auto"/>
        <w:jc w:val="center"/>
        <w:rPr>
          <w:rFonts w:hint="eastAsia" w:cs="宋体" w:asciiTheme="minorEastAsia" w:hAnsiTheme="minorEastAsia" w:eastAsiaTheme="minorEastAsia"/>
          <w:b/>
          <w:bCs/>
          <w:color w:val="auto"/>
          <w:kern w:val="0"/>
          <w:sz w:val="32"/>
          <w:szCs w:val="32"/>
          <w:highlight w:val="none"/>
          <w:lang w:eastAsia="zh-CN"/>
        </w:rPr>
      </w:pPr>
      <w:r>
        <w:rPr>
          <w:rFonts w:cs="宋体" w:asciiTheme="minorEastAsia" w:hAnsiTheme="minorEastAsia"/>
          <w:b/>
          <w:bCs/>
          <w:color w:val="auto"/>
          <w:kern w:val="0"/>
          <w:sz w:val="32"/>
          <w:szCs w:val="32"/>
          <w:highlight w:val="none"/>
        </w:rPr>
        <w:t>项目名称：</w:t>
      </w:r>
      <w:r>
        <w:rPr>
          <w:rFonts w:hint="eastAsia" w:cs="宋体" w:asciiTheme="minorEastAsia" w:hAnsiTheme="minorEastAsia"/>
          <w:b/>
          <w:bCs/>
          <w:color w:val="auto"/>
          <w:kern w:val="0"/>
          <w:sz w:val="32"/>
          <w:szCs w:val="32"/>
          <w:highlight w:val="none"/>
          <w:lang w:eastAsia="zh-CN"/>
        </w:rPr>
        <w:t>东溪布塘水闸重建工程</w:t>
      </w:r>
    </w:p>
    <w:p w14:paraId="3DDFC998">
      <w:pPr>
        <w:spacing w:line="360" w:lineRule="auto"/>
        <w:jc w:val="center"/>
        <w:rPr>
          <w:rFonts w:cs="宋体" w:asciiTheme="minorEastAsia" w:hAnsiTheme="minorEastAsia"/>
          <w:b/>
          <w:bCs/>
          <w:color w:val="auto"/>
          <w:kern w:val="0"/>
          <w:sz w:val="32"/>
          <w:szCs w:val="32"/>
          <w:highlight w:val="none"/>
        </w:rPr>
      </w:pPr>
      <w:r>
        <w:rPr>
          <w:rFonts w:cs="宋体" w:asciiTheme="minorEastAsia" w:hAnsiTheme="minorEastAsia"/>
          <w:b/>
          <w:bCs/>
          <w:color w:val="auto"/>
          <w:kern w:val="0"/>
          <w:sz w:val="32"/>
          <w:szCs w:val="32"/>
          <w:highlight w:val="none"/>
        </w:rPr>
        <w:t>备案编号：</w:t>
      </w:r>
      <w:r>
        <w:rPr>
          <w:rFonts w:hint="eastAsia" w:cs="宋体" w:asciiTheme="minorEastAsia" w:hAnsiTheme="minorEastAsia"/>
          <w:b/>
          <w:bCs/>
          <w:color w:val="auto"/>
          <w:kern w:val="0"/>
          <w:sz w:val="32"/>
          <w:szCs w:val="32"/>
          <w:highlight w:val="none"/>
          <w:lang w:eastAsia="zh-CN"/>
        </w:rPr>
        <w:t>（</w:t>
      </w:r>
      <w:r>
        <w:rPr>
          <w:rFonts w:hint="eastAsia" w:cs="宋体" w:asciiTheme="minorEastAsia" w:hAnsiTheme="minorEastAsia"/>
          <w:b/>
          <w:bCs/>
          <w:color w:val="auto"/>
          <w:kern w:val="0"/>
          <w:sz w:val="32"/>
          <w:szCs w:val="32"/>
          <w:highlight w:val="none"/>
          <w:lang w:val="en-US" w:eastAsia="zh-CN"/>
        </w:rPr>
        <w:t>系统自动生成</w:t>
      </w:r>
      <w:r>
        <w:rPr>
          <w:rFonts w:hint="eastAsia" w:cs="宋体" w:asciiTheme="minorEastAsia" w:hAnsiTheme="minorEastAsia"/>
          <w:b/>
          <w:bCs/>
          <w:color w:val="auto"/>
          <w:kern w:val="0"/>
          <w:sz w:val="32"/>
          <w:szCs w:val="32"/>
          <w:highlight w:val="none"/>
          <w:lang w:eastAsia="zh-CN"/>
        </w:rPr>
        <w:t>）</w:t>
      </w:r>
    </w:p>
    <w:p w14:paraId="67EE4594">
      <w:pPr>
        <w:spacing w:line="360" w:lineRule="auto"/>
        <w:jc w:val="center"/>
        <w:rPr>
          <w:rFonts w:cs="宋体" w:asciiTheme="minorEastAsia" w:hAnsiTheme="minorEastAsia"/>
          <w:b/>
          <w:bCs/>
          <w:color w:val="auto"/>
          <w:kern w:val="0"/>
          <w:sz w:val="32"/>
          <w:szCs w:val="32"/>
          <w:highlight w:val="none"/>
        </w:rPr>
      </w:pPr>
      <w:r>
        <w:rPr>
          <w:rFonts w:cs="宋体" w:asciiTheme="minorEastAsia" w:hAnsiTheme="minorEastAsia"/>
          <w:b/>
          <w:bCs/>
          <w:color w:val="auto"/>
          <w:kern w:val="0"/>
          <w:sz w:val="32"/>
          <w:szCs w:val="32"/>
          <w:highlight w:val="none"/>
        </w:rPr>
        <w:t>项目编号：</w:t>
      </w:r>
      <w:r>
        <w:rPr>
          <w:rFonts w:hint="eastAsia" w:cs="宋体" w:asciiTheme="minorEastAsia" w:hAnsiTheme="minorEastAsia"/>
          <w:b/>
          <w:bCs/>
          <w:color w:val="auto"/>
          <w:kern w:val="0"/>
          <w:sz w:val="32"/>
          <w:szCs w:val="32"/>
          <w:highlight w:val="none"/>
          <w:lang w:eastAsia="zh-CN"/>
        </w:rPr>
        <w:t>（</w:t>
      </w:r>
      <w:r>
        <w:rPr>
          <w:rFonts w:hint="eastAsia" w:cs="宋体" w:asciiTheme="minorEastAsia" w:hAnsiTheme="minorEastAsia"/>
          <w:b/>
          <w:bCs/>
          <w:color w:val="auto"/>
          <w:kern w:val="0"/>
          <w:sz w:val="32"/>
          <w:szCs w:val="32"/>
          <w:highlight w:val="none"/>
          <w:lang w:val="en-US" w:eastAsia="zh-CN"/>
        </w:rPr>
        <w:t>系统自动生成</w:t>
      </w:r>
      <w:r>
        <w:rPr>
          <w:rFonts w:hint="eastAsia" w:cs="宋体" w:asciiTheme="minorEastAsia" w:hAnsiTheme="minorEastAsia"/>
          <w:b/>
          <w:bCs/>
          <w:color w:val="auto"/>
          <w:kern w:val="0"/>
          <w:sz w:val="32"/>
          <w:szCs w:val="32"/>
          <w:highlight w:val="none"/>
          <w:lang w:eastAsia="zh-CN"/>
        </w:rPr>
        <w:t>）</w:t>
      </w:r>
    </w:p>
    <w:p w14:paraId="08578CE3">
      <w:pPr>
        <w:spacing w:line="360" w:lineRule="auto"/>
        <w:jc w:val="center"/>
        <w:rPr>
          <w:rFonts w:cs="宋体" w:asciiTheme="minorEastAsia" w:hAnsiTheme="minorEastAsia"/>
          <w:b/>
          <w:bCs/>
          <w:color w:val="auto"/>
          <w:kern w:val="0"/>
          <w:sz w:val="32"/>
          <w:szCs w:val="32"/>
          <w:highlight w:val="none"/>
        </w:rPr>
      </w:pPr>
    </w:p>
    <w:p w14:paraId="604378BE">
      <w:pPr>
        <w:spacing w:line="360" w:lineRule="auto"/>
        <w:jc w:val="center"/>
        <w:rPr>
          <w:rFonts w:cs="宋体" w:asciiTheme="minorEastAsia" w:hAnsiTheme="minorEastAsia"/>
          <w:b/>
          <w:bCs/>
          <w:color w:val="auto"/>
          <w:kern w:val="0"/>
          <w:sz w:val="32"/>
          <w:szCs w:val="32"/>
          <w:highlight w:val="none"/>
        </w:rPr>
      </w:pPr>
    </w:p>
    <w:p w14:paraId="0A80A007">
      <w:pPr>
        <w:spacing w:line="360" w:lineRule="auto"/>
        <w:jc w:val="center"/>
        <w:rPr>
          <w:rFonts w:hint="eastAsia" w:cs="宋体" w:asciiTheme="minorEastAsia" w:hAnsiTheme="minorEastAsia" w:eastAsiaTheme="minorEastAsia"/>
          <w:b/>
          <w:bCs/>
          <w:color w:val="auto"/>
          <w:kern w:val="0"/>
          <w:sz w:val="32"/>
          <w:szCs w:val="32"/>
          <w:highlight w:val="none"/>
          <w:lang w:eastAsia="zh-CN"/>
        </w:rPr>
      </w:pPr>
      <w:r>
        <w:rPr>
          <w:rFonts w:cs="宋体" w:asciiTheme="minorEastAsia" w:hAnsiTheme="minorEastAsia"/>
          <w:b/>
          <w:bCs/>
          <w:color w:val="auto"/>
          <w:kern w:val="0"/>
          <w:sz w:val="32"/>
          <w:szCs w:val="32"/>
          <w:highlight w:val="none"/>
        </w:rPr>
        <w:t>采购人：</w:t>
      </w:r>
      <w:r>
        <w:rPr>
          <w:rFonts w:hint="eastAsia" w:cs="宋体" w:asciiTheme="minorEastAsia" w:hAnsiTheme="minorEastAsia"/>
          <w:b/>
          <w:bCs/>
          <w:color w:val="auto"/>
          <w:kern w:val="0"/>
          <w:sz w:val="32"/>
          <w:szCs w:val="32"/>
          <w:highlight w:val="none"/>
          <w:lang w:eastAsia="zh-CN"/>
        </w:rPr>
        <w:t>厦门市同安区五显镇人民政府</w:t>
      </w:r>
    </w:p>
    <w:p w14:paraId="3F4D187F">
      <w:pPr>
        <w:spacing w:line="360" w:lineRule="auto"/>
        <w:jc w:val="center"/>
        <w:rPr>
          <w:rFonts w:hint="eastAsia" w:cs="宋体" w:asciiTheme="minorEastAsia" w:hAnsiTheme="minorEastAsia" w:eastAsiaTheme="minorEastAsia"/>
          <w:b/>
          <w:bCs/>
          <w:color w:val="auto"/>
          <w:kern w:val="0"/>
          <w:sz w:val="32"/>
          <w:szCs w:val="32"/>
          <w:highlight w:val="none"/>
          <w:lang w:eastAsia="zh-CN"/>
        </w:rPr>
      </w:pPr>
      <w:r>
        <w:rPr>
          <w:rFonts w:cs="宋体" w:asciiTheme="minorEastAsia" w:hAnsiTheme="minorEastAsia"/>
          <w:b/>
          <w:bCs/>
          <w:color w:val="auto"/>
          <w:kern w:val="0"/>
          <w:sz w:val="32"/>
          <w:szCs w:val="32"/>
          <w:highlight w:val="none"/>
        </w:rPr>
        <w:t>代理机构：</w:t>
      </w:r>
      <w:r>
        <w:rPr>
          <w:rFonts w:hint="eastAsia" w:cs="宋体" w:asciiTheme="minorEastAsia" w:hAnsiTheme="minorEastAsia"/>
          <w:b/>
          <w:bCs/>
          <w:color w:val="auto"/>
          <w:kern w:val="0"/>
          <w:sz w:val="32"/>
          <w:szCs w:val="32"/>
          <w:highlight w:val="none"/>
          <w:lang w:eastAsia="zh-CN"/>
        </w:rPr>
        <w:t>福建宇宏工程项目管理有限公司</w:t>
      </w:r>
    </w:p>
    <w:p w14:paraId="7F8557BE">
      <w:pPr>
        <w:spacing w:line="360" w:lineRule="auto"/>
        <w:jc w:val="center"/>
        <w:rPr>
          <w:rFonts w:cs="宋体" w:asciiTheme="minorEastAsia" w:hAnsiTheme="minorEastAsia"/>
          <w:b/>
          <w:bCs/>
          <w:color w:val="auto"/>
          <w:kern w:val="0"/>
          <w:sz w:val="32"/>
          <w:szCs w:val="32"/>
          <w:highlight w:val="none"/>
        </w:rPr>
      </w:pPr>
    </w:p>
    <w:p w14:paraId="73D1D750">
      <w:pPr>
        <w:spacing w:line="360" w:lineRule="auto"/>
        <w:jc w:val="center"/>
        <w:rPr>
          <w:rFonts w:cs="宋体" w:asciiTheme="minorEastAsia" w:hAnsiTheme="minorEastAsia"/>
          <w:b/>
          <w:bCs/>
          <w:color w:val="auto"/>
          <w:kern w:val="0"/>
          <w:sz w:val="32"/>
          <w:szCs w:val="32"/>
          <w:highlight w:val="none"/>
        </w:rPr>
      </w:pPr>
      <w:r>
        <w:rPr>
          <w:rFonts w:hint="eastAsia" w:cs="宋体" w:asciiTheme="minorEastAsia" w:hAnsiTheme="minorEastAsia"/>
          <w:b/>
          <w:bCs/>
          <w:color w:val="auto"/>
          <w:kern w:val="0"/>
          <w:sz w:val="32"/>
          <w:szCs w:val="32"/>
          <w:highlight w:val="none"/>
        </w:rPr>
        <w:t>编制时间：</w:t>
      </w:r>
      <w:r>
        <w:rPr>
          <w:rFonts w:cs="宋体" w:asciiTheme="minorEastAsia" w:hAnsiTheme="minorEastAsia"/>
          <w:b/>
          <w:bCs/>
          <w:color w:val="auto"/>
          <w:kern w:val="0"/>
          <w:sz w:val="32"/>
          <w:szCs w:val="32"/>
          <w:highlight w:val="none"/>
        </w:rPr>
        <w:t>202</w:t>
      </w:r>
      <w:r>
        <w:rPr>
          <w:rFonts w:hint="eastAsia" w:cs="宋体" w:asciiTheme="minorEastAsia" w:hAnsiTheme="minorEastAsia"/>
          <w:b/>
          <w:bCs/>
          <w:color w:val="auto"/>
          <w:kern w:val="0"/>
          <w:sz w:val="32"/>
          <w:szCs w:val="32"/>
          <w:highlight w:val="none"/>
        </w:rPr>
        <w:t>5</w:t>
      </w:r>
      <w:r>
        <w:rPr>
          <w:rFonts w:cs="宋体" w:asciiTheme="minorEastAsia" w:hAnsiTheme="minorEastAsia"/>
          <w:b/>
          <w:bCs/>
          <w:color w:val="auto"/>
          <w:kern w:val="0"/>
          <w:sz w:val="32"/>
          <w:szCs w:val="32"/>
          <w:highlight w:val="none"/>
        </w:rPr>
        <w:t>年</w:t>
      </w:r>
      <w:r>
        <w:rPr>
          <w:rFonts w:hint="eastAsia" w:cs="宋体" w:asciiTheme="minorEastAsia" w:hAnsiTheme="minorEastAsia"/>
          <w:b/>
          <w:bCs/>
          <w:color w:val="auto"/>
          <w:kern w:val="0"/>
          <w:sz w:val="32"/>
          <w:szCs w:val="32"/>
          <w:highlight w:val="none"/>
          <w:lang w:val="en-US" w:eastAsia="zh-CN"/>
        </w:rPr>
        <w:t>8</w:t>
      </w:r>
      <w:r>
        <w:rPr>
          <w:rFonts w:cs="宋体" w:asciiTheme="minorEastAsia" w:hAnsiTheme="minorEastAsia"/>
          <w:b/>
          <w:bCs/>
          <w:color w:val="auto"/>
          <w:kern w:val="0"/>
          <w:sz w:val="32"/>
          <w:szCs w:val="32"/>
          <w:highlight w:val="none"/>
        </w:rPr>
        <w:t>月</w:t>
      </w:r>
    </w:p>
    <w:p w14:paraId="18FEA832">
      <w:pPr>
        <w:rPr>
          <w:color w:val="auto"/>
          <w:highlight w:val="none"/>
        </w:rPr>
        <w:sectPr>
          <w:footerReference r:id="rId3" w:type="default"/>
          <w:pgSz w:w="11906" w:h="16838"/>
          <w:pgMar w:top="1418" w:right="1418" w:bottom="1418" w:left="1418"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highlight w:val="none"/>
          <w:lang w:val="zh-CN"/>
        </w:rPr>
        <w:id w:val="431192922"/>
        <w:docPartObj>
          <w:docPartGallery w:val="Table of Contents"/>
          <w:docPartUnique/>
        </w:docPartObj>
      </w:sdtPr>
      <w:sdtEndPr>
        <w:rPr>
          <w:rFonts w:asciiTheme="minorEastAsia" w:hAnsiTheme="minorEastAsia" w:eastAsiaTheme="minorEastAsia" w:cstheme="minorBidi"/>
          <w:b w:val="0"/>
          <w:bCs w:val="0"/>
          <w:color w:val="auto"/>
          <w:kern w:val="2"/>
          <w:sz w:val="24"/>
          <w:szCs w:val="24"/>
          <w:highlight w:val="none"/>
          <w:lang w:val="en-US"/>
        </w:rPr>
      </w:sdtEndPr>
      <w:sdtContent>
        <w:p w14:paraId="533C117D">
          <w:pPr>
            <w:pStyle w:val="47"/>
            <w:widowControl w:val="0"/>
            <w:spacing w:beforeLines="50" w:afterLines="50" w:line="240" w:lineRule="auto"/>
            <w:jc w:val="center"/>
            <w:rPr>
              <w:color w:val="auto"/>
              <w:sz w:val="32"/>
              <w:highlight w:val="none"/>
            </w:rPr>
          </w:pPr>
          <w:r>
            <w:rPr>
              <w:color w:val="auto"/>
              <w:sz w:val="32"/>
              <w:highlight w:val="none"/>
              <w:lang w:val="zh-CN"/>
            </w:rPr>
            <w:t>目</w:t>
          </w:r>
          <w:r>
            <w:rPr>
              <w:rFonts w:hint="eastAsia"/>
              <w:color w:val="auto"/>
              <w:sz w:val="32"/>
              <w:highlight w:val="none"/>
              <w:lang w:val="zh-CN"/>
            </w:rPr>
            <w:t xml:space="preserve">  </w:t>
          </w:r>
          <w:r>
            <w:rPr>
              <w:color w:val="auto"/>
              <w:sz w:val="32"/>
              <w:highlight w:val="none"/>
              <w:lang w:val="zh-CN"/>
            </w:rPr>
            <w:t>录</w:t>
          </w:r>
        </w:p>
        <w:p w14:paraId="0FB72B9B">
          <w:pPr>
            <w:pStyle w:val="13"/>
            <w:tabs>
              <w:tab w:val="right" w:leader="dot" w:pos="9060"/>
            </w:tabs>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TOC \o "1-3" \h \z \u </w:instrText>
          </w:r>
          <w:r>
            <w:rPr>
              <w:rFonts w:asciiTheme="minorEastAsia" w:hAnsiTheme="minorEastAsia"/>
              <w:color w:val="auto"/>
              <w:sz w:val="24"/>
              <w:szCs w:val="24"/>
              <w:highlight w:val="none"/>
            </w:rPr>
            <w:fldChar w:fldCharType="separate"/>
          </w:r>
          <w:r>
            <w:rPr>
              <w:color w:val="auto"/>
              <w:highlight w:val="none"/>
            </w:rPr>
            <w:fldChar w:fldCharType="begin"/>
          </w:r>
          <w:r>
            <w:rPr>
              <w:color w:val="auto"/>
              <w:highlight w:val="none"/>
            </w:rPr>
            <w:instrText xml:space="preserve"> HYPERLINK \l "_Toc139103804"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第一章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投标邀请</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_Toc139103804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B7E859B">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"_Toc139103805"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第二章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投标人须知前附表</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_Toc139103805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67BA171">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"_Toc139103806"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一、投标人须知前附表</w:t>
          </w:r>
          <w:r>
            <w:rPr>
              <w:rStyle w:val="21"/>
              <w:rFonts w:cs="Times New Roman" w:asciiTheme="minorEastAsia" w:hAnsiTheme="minorEastAsia"/>
              <w:color w:val="auto"/>
              <w:kern w:val="0"/>
              <w:sz w:val="24"/>
              <w:szCs w:val="24"/>
              <w:highlight w:val="none"/>
            </w:rPr>
            <w:t>1</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_Toc139103806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558ABF3">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"_Toc139103807"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二、投标人须知前附表</w:t>
          </w:r>
          <w:r>
            <w:rPr>
              <w:rStyle w:val="21"/>
              <w:rFonts w:cs="Times New Roman" w:asciiTheme="minorEastAsia" w:hAnsiTheme="minorEastAsia"/>
              <w:color w:val="auto"/>
              <w:kern w:val="0"/>
              <w:sz w:val="24"/>
              <w:szCs w:val="24"/>
              <w:highlight w:val="none"/>
            </w:rPr>
            <w:t>2</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_Toc139103807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10</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DF110C5">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"_Toc139103808"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第三章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投标人须知</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_Toc139103808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EDDDBD5">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"_Toc139103809"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一、总则</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_Toc139103809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15A82EF">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"_Toc139103810"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二、投标人</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_Toc139103810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7DB3953">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"_Toc139103811"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三、招标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_Toc139103811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14</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5F462CE8">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"_Toc139103812"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四、投标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_Toc139103812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16</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3278ACFC">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"_Toc139103813"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五、开标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_Toc139103813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21</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35D10D6">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"_Toc139103814"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六、中标与政府采购合同</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_Toc139103814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22</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81A82FA">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"_Toc139103815"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七、询问、质疑与投诉</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_Toc139103815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A6224E8">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"_Toc139103816"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八、政府采购政策</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_Toc139103816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25</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1424B5C">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"_Toc139103817"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九、本项目的有关信息</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_Toc139103817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27</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2E74F3AC">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"_Toc139103818"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十、其他事项</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_Toc139103818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27918510">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"_Toc139103819"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第四章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资格审查与评标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_Toc139103819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29</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4B92F43">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"_Toc139103820"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一、资格审查</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_Toc139103820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29</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1B09B4D">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"_Toc139103821"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二、评标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_Toc139103821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33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529F9705">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"_Toc139103822"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第五章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招标内容及要求</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_Toc139103822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45</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A97C7A0">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"_Toc139103823"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一、项目概况（采购标的）</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_Toc139103823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45</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E06AEF8">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"_Toc139103824"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二、技术和服务要求</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_Toc139103824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47</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5C892869">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"_Toc139103825"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三、商务要求</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_Toc139103825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56</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148353B5">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"_Toc139103826"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四、其他事项</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_Toc139103826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72</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4007D4E">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"_Toc139103827"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第六章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政府采购合同</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_Toc139103827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74</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908969D">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"_Toc139103828"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第七章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电子投标文件格式</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_Toc139103828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89</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0EEE895">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fldChar w:fldCharType="end"/>
          </w:r>
        </w:p>
      </w:sdtContent>
    </w:sdt>
    <w:p w14:paraId="38559A32">
      <w:pPr>
        <w:rPr>
          <w:color w:val="auto"/>
          <w:highlight w:val="none"/>
        </w:rPr>
      </w:pPr>
    </w:p>
    <w:p w14:paraId="0298D6E1">
      <w:pPr>
        <w:rPr>
          <w:color w:val="auto"/>
          <w:highlight w:val="none"/>
        </w:rPr>
        <w:sectPr>
          <w:pgSz w:w="11906" w:h="16838"/>
          <w:pgMar w:top="1418" w:right="1418" w:bottom="1418" w:left="1418" w:header="851" w:footer="992" w:gutter="0"/>
          <w:cols w:space="425" w:num="1"/>
          <w:docGrid w:type="lines" w:linePitch="312" w:charSpace="0"/>
        </w:sectPr>
      </w:pPr>
    </w:p>
    <w:p w14:paraId="3EEE929C">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0" w:name="_Toc139103804"/>
      <w:r>
        <w:rPr>
          <w:rFonts w:ascii="黑体" w:hAnsi="黑体" w:eastAsia="黑体" w:cs="Times New Roman"/>
          <w:color w:val="auto"/>
          <w:kern w:val="0"/>
          <w:sz w:val="32"/>
          <w:szCs w:val="44"/>
          <w:highlight w:val="none"/>
        </w:rPr>
        <w:t>第一章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投标邀请</w:t>
      </w:r>
      <w:bookmarkEnd w:id="0"/>
    </w:p>
    <w:p w14:paraId="731576F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采用公开招标方式组织</w:t>
      </w:r>
      <w:r>
        <w:rPr>
          <w:rFonts w:hint="eastAsia" w:asciiTheme="minorEastAsia" w:hAnsiTheme="minorEastAsia"/>
          <w:b/>
          <w:bCs/>
          <w:color w:val="auto"/>
          <w:sz w:val="24"/>
          <w:szCs w:val="24"/>
          <w:highlight w:val="none"/>
          <w:u w:val="single"/>
          <w:lang w:eastAsia="zh-CN"/>
        </w:rPr>
        <w:t>东溪布塘水闸重建工程</w:t>
      </w:r>
      <w:r>
        <w:rPr>
          <w:rFonts w:asciiTheme="minorEastAsia" w:hAnsiTheme="minorEastAsia"/>
          <w:color w:val="auto"/>
          <w:sz w:val="24"/>
          <w:szCs w:val="24"/>
          <w:highlight w:val="none"/>
        </w:rPr>
        <w:t>（以下简称：“本项目”）的政府采购活动，现邀请供应商参加投标。</w:t>
      </w:r>
    </w:p>
    <w:p w14:paraId="2273CA05">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1、备案编号：</w:t>
      </w:r>
      <w:r>
        <w:rPr>
          <w:rFonts w:hint="eastAsia" w:asciiTheme="minorEastAsia" w:hAnsiTheme="minorEastAsia"/>
          <w:color w:val="auto"/>
          <w:sz w:val="24"/>
          <w:szCs w:val="24"/>
          <w:highlight w:val="none"/>
        </w:rPr>
        <w:t>（系统自动生成）</w:t>
      </w:r>
    </w:p>
    <w:p w14:paraId="46BA87F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2、项目编号：</w:t>
      </w:r>
      <w:r>
        <w:rPr>
          <w:rFonts w:hint="eastAsia" w:asciiTheme="minorEastAsia" w:hAnsiTheme="minorEastAsia"/>
          <w:color w:val="auto"/>
          <w:sz w:val="24"/>
          <w:szCs w:val="24"/>
          <w:highlight w:val="none"/>
        </w:rPr>
        <w:t>（系统自动生成）</w:t>
      </w:r>
    </w:p>
    <w:p w14:paraId="39615D8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3、预算金额、最高限价：详见《采购标的一览表》。</w:t>
      </w:r>
    </w:p>
    <w:p w14:paraId="2B8C8A9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4、招标内容及要求：详见《采购标的一览表》及招标文件第五章。</w:t>
      </w:r>
    </w:p>
    <w:p w14:paraId="3231B23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5、需要落实的政府采购政策</w:t>
      </w:r>
    </w:p>
    <w:p w14:paraId="06B9610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进口产品：本项目不接受进口产品参与投标。</w:t>
      </w:r>
    </w:p>
    <w:p w14:paraId="75FE88F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节能产品：按照节能产品政府采购品目清单执行。</w:t>
      </w:r>
    </w:p>
    <w:p w14:paraId="5CDF8DE4">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环境标志产品：按照环境标志产品政府采购品目清单执行。</w:t>
      </w:r>
    </w:p>
    <w:p w14:paraId="7C3F6459">
      <w:pPr>
        <w:spacing w:line="360" w:lineRule="auto"/>
        <w:jc w:val="left"/>
        <w:rPr>
          <w:rFonts w:asciiTheme="minorEastAsia" w:hAnsiTheme="minorEastAsia"/>
          <w:color w:val="auto"/>
          <w:kern w:val="0"/>
          <w:sz w:val="24"/>
          <w:szCs w:val="24"/>
          <w:highlight w:val="none"/>
        </w:rPr>
      </w:pPr>
    </w:p>
    <w:p w14:paraId="5EEF0646">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促进中小企业发展的相关政策：</w:t>
      </w:r>
    </w:p>
    <w:p w14:paraId="4AED6377">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采购包1：要求合同分包</w:t>
      </w:r>
    </w:p>
    <w:p w14:paraId="1D1082B3">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面向的企业规模：中小企业</w:t>
      </w:r>
    </w:p>
    <w:p w14:paraId="597862F5">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预留形式：要求合同分包</w:t>
      </w:r>
    </w:p>
    <w:p w14:paraId="2CD81643">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kern w:val="2"/>
          <w:sz w:val="24"/>
          <w:szCs w:val="24"/>
          <w:highlight w:val="none"/>
        </w:rPr>
        <w:t>预留比例：</w:t>
      </w:r>
      <w:r>
        <w:rPr>
          <w:rFonts w:hint="eastAsia" w:asciiTheme="minorEastAsia" w:hAnsiTheme="minorEastAsia"/>
          <w:color w:val="auto"/>
          <w:kern w:val="2"/>
          <w:sz w:val="24"/>
          <w:szCs w:val="24"/>
          <w:highlight w:val="none"/>
          <w:lang w:val="en-US" w:eastAsia="zh-CN"/>
        </w:rPr>
        <w:t>40</w:t>
      </w:r>
      <w:r>
        <w:rPr>
          <w:rFonts w:asciiTheme="minorEastAsia" w:hAnsiTheme="minorEastAsia"/>
          <w:color w:val="auto"/>
          <w:kern w:val="2"/>
          <w:sz w:val="24"/>
          <w:szCs w:val="24"/>
          <w:highlight w:val="none"/>
        </w:rPr>
        <w:t>%</w:t>
      </w:r>
    </w:p>
    <w:p w14:paraId="54D7F52A">
      <w:pPr>
        <w:pStyle w:val="54"/>
        <w:widowControl w:val="0"/>
        <w:spacing w:line="360" w:lineRule="auto"/>
        <w:ind w:firstLine="480" w:firstLineChars="200"/>
        <w:rPr>
          <w:rFonts w:hint="default" w:asciiTheme="minorEastAsia" w:hAnsiTheme="minorEastAsia"/>
          <w:color w:val="auto"/>
          <w:sz w:val="24"/>
          <w:szCs w:val="24"/>
          <w:highlight w:val="none"/>
        </w:rPr>
      </w:pPr>
    </w:p>
    <w:p w14:paraId="16335DA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6、投标人的资格要求</w:t>
      </w:r>
    </w:p>
    <w:p w14:paraId="6A65D17C">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6.1法定条件：符合政府采购法第二十二条第一款规定的条件。</w:t>
      </w:r>
    </w:p>
    <w:p w14:paraId="2FAE1A2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6.2特定条件：</w:t>
      </w:r>
    </w:p>
    <w:p w14:paraId="40DCADE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216"/>
      </w:tblGrid>
      <w:tr w14:paraId="258E8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3751769B">
            <w:pPr>
              <w:spacing w:line="276" w:lineRule="auto"/>
              <w:jc w:val="center"/>
              <w:rPr>
                <w:color w:val="auto"/>
                <w:sz w:val="24"/>
                <w:szCs w:val="24"/>
                <w:highlight w:val="none"/>
              </w:rPr>
            </w:pPr>
            <w:r>
              <w:rPr>
                <w:color w:val="auto"/>
                <w:sz w:val="24"/>
                <w:szCs w:val="24"/>
                <w:highlight w:val="none"/>
              </w:rPr>
              <w:t>资格审查要求概况</w:t>
            </w:r>
          </w:p>
        </w:tc>
        <w:tc>
          <w:tcPr>
            <w:tcW w:w="6216" w:type="dxa"/>
            <w:vAlign w:val="center"/>
          </w:tcPr>
          <w:p w14:paraId="092CAC52">
            <w:pPr>
              <w:spacing w:line="276" w:lineRule="auto"/>
              <w:jc w:val="center"/>
              <w:rPr>
                <w:color w:val="auto"/>
                <w:sz w:val="24"/>
                <w:szCs w:val="24"/>
                <w:highlight w:val="none"/>
              </w:rPr>
            </w:pPr>
            <w:r>
              <w:rPr>
                <w:color w:val="auto"/>
                <w:sz w:val="24"/>
                <w:szCs w:val="24"/>
                <w:highlight w:val="none"/>
              </w:rPr>
              <w:t>评审点具体描述</w:t>
            </w:r>
          </w:p>
        </w:tc>
      </w:tr>
      <w:tr w14:paraId="2D8D6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0837356A">
            <w:pPr>
              <w:spacing w:line="276" w:lineRule="auto"/>
              <w:jc w:val="center"/>
              <w:rPr>
                <w:color w:val="auto"/>
                <w:sz w:val="24"/>
                <w:szCs w:val="24"/>
                <w:highlight w:val="none"/>
              </w:rPr>
            </w:pPr>
            <w:r>
              <w:rPr>
                <w:rFonts w:hint="eastAsia"/>
                <w:color w:val="auto"/>
                <w:sz w:val="24"/>
                <w:szCs w:val="24"/>
                <w:highlight w:val="none"/>
              </w:rPr>
              <w:t>信用记录要求（招标文件其他地方要求与本条款要求不一致的，以本条款要求为准）</w:t>
            </w:r>
          </w:p>
        </w:tc>
        <w:tc>
          <w:tcPr>
            <w:tcW w:w="6216" w:type="dxa"/>
            <w:vAlign w:val="center"/>
          </w:tcPr>
          <w:p w14:paraId="1492981F">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1、信用信息查询渠道：通过“信用中国”网站（www.creditchina.gov.cn）、中国政府采购网（www.ccgp.gov.cn）、“信用厦门”网站（credit.xm.gov.cn）查询所有</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 xml:space="preserve">的信用信息。 </w:t>
            </w:r>
          </w:p>
          <w:p w14:paraId="0C61AD98">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2、截止时点：查询</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截止开标当天前三年内的信用信息。</w:t>
            </w:r>
          </w:p>
          <w:p w14:paraId="3CBB9531">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3、查询记录和证据留存方式：将查询结果网页打印后随采购文件一并存档。 </w:t>
            </w:r>
          </w:p>
          <w:p w14:paraId="7012C05C">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4、信用信息的使用规则：（1）查询结果显示</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存在不良信用记录（包含列入失信被执行人、重大税收违法失信主体</w:t>
            </w:r>
            <w:r>
              <w:rPr>
                <w:rFonts w:hint="eastAsia" w:asciiTheme="minorEastAsia" w:hAnsiTheme="minorEastAsia"/>
                <w:color w:val="auto"/>
                <w:sz w:val="24"/>
                <w:szCs w:val="24"/>
                <w:highlight w:val="none"/>
              </w:rPr>
              <w:t>名单</w:t>
            </w:r>
            <w:r>
              <w:rPr>
                <w:rFonts w:asciiTheme="minorEastAsia" w:hAnsiTheme="minorEastAsia"/>
                <w:color w:val="auto"/>
                <w:sz w:val="24"/>
                <w:szCs w:val="24"/>
                <w:highlight w:val="none"/>
              </w:rPr>
              <w:t>、政府采购严重违法失信行为记录名单及其他不符合《中华人民共和国政府采购法》第二十二条规定条件）的，其资格审查不合格。（2）因查询渠道网站原因导致查无</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信息的，不认定</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资格审查不合格；评审结束后，通过其他渠道发现</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存在不良信用记录的，不认定为资格审查错误，将依照有关规定进行调查处理。（3）联合体成员存在不良信用记录的，视同联合体存在不良信用记录，联合体资格审查不合格。</w:t>
            </w:r>
          </w:p>
          <w:p w14:paraId="41B968D0">
            <w:pPr>
              <w:spacing w:line="276" w:lineRule="auto"/>
              <w:rPr>
                <w:color w:val="auto"/>
                <w:sz w:val="24"/>
                <w:szCs w:val="24"/>
                <w:highlight w:val="none"/>
              </w:rPr>
            </w:pPr>
            <w:r>
              <w:rPr>
                <w:rFonts w:asciiTheme="minorEastAsia" w:hAnsiTheme="minorEastAsia"/>
                <w:color w:val="auto"/>
                <w:sz w:val="24"/>
                <w:szCs w:val="24"/>
                <w:highlight w:val="none"/>
              </w:rPr>
              <w:t>5、</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无需提供信用信息查询结果。若</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自行提供查询结果的，仍以评标当天查询结果为准。</w:t>
            </w:r>
          </w:p>
        </w:tc>
      </w:tr>
      <w:tr w14:paraId="7E514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3BFDD8AC">
            <w:pPr>
              <w:spacing w:line="276" w:lineRule="auto"/>
              <w:jc w:val="center"/>
              <w:rPr>
                <w:rFonts w:ascii="宋体" w:hAnsi="宋体" w:cs="宋体"/>
                <w:color w:val="auto"/>
                <w:kern w:val="0"/>
                <w:sz w:val="24"/>
                <w:szCs w:val="20"/>
                <w:highlight w:val="none"/>
              </w:rPr>
            </w:pPr>
            <w:r>
              <w:rPr>
                <w:rFonts w:hint="eastAsia" w:ascii="宋体" w:hAnsi="宋体" w:cs="宋体"/>
                <w:color w:val="auto"/>
                <w:kern w:val="0"/>
                <w:sz w:val="24"/>
                <w:szCs w:val="20"/>
                <w:highlight w:val="none"/>
              </w:rPr>
              <w:t>资格承诺函</w:t>
            </w:r>
          </w:p>
        </w:tc>
        <w:tc>
          <w:tcPr>
            <w:tcW w:w="6216" w:type="dxa"/>
            <w:vAlign w:val="center"/>
          </w:tcPr>
          <w:p w14:paraId="7EDBC454">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0DE4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25865017">
            <w:pPr>
              <w:spacing w:line="276" w:lineRule="auto"/>
              <w:jc w:val="center"/>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落实中小企业扶持政策要求（预留份额）</w:t>
            </w:r>
          </w:p>
        </w:tc>
        <w:tc>
          <w:tcPr>
            <w:tcW w:w="6216" w:type="dxa"/>
            <w:vAlign w:val="center"/>
          </w:tcPr>
          <w:p w14:paraId="0DDF2B7C">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（1）本采购包落实中小企业扶持政策要求的方式：预留份额专门面向中小企业采购。</w:t>
            </w:r>
          </w:p>
          <w:p w14:paraId="7F094BB1">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（2）预留比例：中小企业制造的产品金额不低于投标总额的40%，其中小微企业制造的产品金额不低于投标总额的24%。</w:t>
            </w:r>
          </w:p>
          <w:p w14:paraId="684449FA">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（3）投标人需按第五章补充条款要求提供相关材料，否则投标无效。</w:t>
            </w:r>
          </w:p>
        </w:tc>
      </w:tr>
      <w:tr w14:paraId="3CC5E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6043FD61">
            <w:pPr>
              <w:spacing w:line="276" w:lineRule="auto"/>
              <w:jc w:val="center"/>
              <w:rPr>
                <w:rFonts w:hint="eastAsia" w:ascii="宋体" w:hAnsi="宋体" w:cs="宋体"/>
                <w:bCs/>
                <w:color w:val="auto"/>
                <w:kern w:val="0"/>
                <w:sz w:val="24"/>
                <w:szCs w:val="20"/>
                <w:highlight w:val="none"/>
              </w:rPr>
            </w:pPr>
            <w:r>
              <w:rPr>
                <w:rFonts w:hint="eastAsia" w:ascii="宋体" w:hAnsi="宋体" w:cs="宋体"/>
                <w:bCs/>
                <w:color w:val="auto"/>
                <w:kern w:val="0"/>
                <w:sz w:val="24"/>
                <w:szCs w:val="20"/>
                <w:highlight w:val="none"/>
              </w:rPr>
              <w:t>采购人根据采购项目的要求规定的特定条件</w:t>
            </w:r>
          </w:p>
        </w:tc>
        <w:tc>
          <w:tcPr>
            <w:tcW w:w="6216" w:type="dxa"/>
            <w:vAlign w:val="center"/>
          </w:tcPr>
          <w:p w14:paraId="724523DF">
            <w:pPr>
              <w:spacing w:line="276" w:lineRule="auto"/>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lang w:val="en-US" w:eastAsia="zh-CN"/>
              </w:rPr>
              <w:t>1</w:t>
            </w:r>
            <w:r>
              <w:rPr>
                <w:rFonts w:hint="eastAsia" w:ascii="宋体" w:hAnsi="宋体" w:cs="宋体"/>
                <w:color w:val="auto"/>
                <w:kern w:val="0"/>
                <w:sz w:val="24"/>
                <w:szCs w:val="20"/>
                <w:highlight w:val="none"/>
                <w:lang w:eastAsia="zh-CN"/>
              </w:rPr>
              <w:t>）投标人</w:t>
            </w:r>
            <w:r>
              <w:rPr>
                <w:rFonts w:hint="eastAsia" w:ascii="宋体" w:hAnsi="宋体" w:cs="宋体"/>
                <w:color w:val="auto"/>
                <w:kern w:val="0"/>
                <w:sz w:val="24"/>
                <w:szCs w:val="20"/>
                <w:highlight w:val="none"/>
              </w:rPr>
              <w:t>应具有合格有效的行政主管部门颁发的水工金属结构制作</w:t>
            </w:r>
            <w:r>
              <w:rPr>
                <w:rFonts w:hint="eastAsia" w:ascii="宋体" w:hAnsi="宋体" w:cs="宋体"/>
                <w:color w:val="auto"/>
                <w:kern w:val="0"/>
                <w:sz w:val="24"/>
                <w:szCs w:val="20"/>
                <w:highlight w:val="none"/>
                <w:lang w:val="en-US" w:eastAsia="zh-CN"/>
              </w:rPr>
              <w:t>与安装工程专业承包</w:t>
            </w:r>
            <w:r>
              <w:rPr>
                <w:rFonts w:hint="eastAsia" w:ascii="宋体" w:hAnsi="宋体" w:cs="宋体"/>
                <w:color w:val="auto"/>
                <w:kern w:val="0"/>
                <w:sz w:val="24"/>
                <w:szCs w:val="20"/>
                <w:highlight w:val="none"/>
              </w:rPr>
              <w:t>三级（含）以上资质，并提供有效资质证书扫描件。</w:t>
            </w:r>
          </w:p>
          <w:p w14:paraId="45A9D2FC">
            <w:pPr>
              <w:spacing w:line="276" w:lineRule="auto"/>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lang w:val="en-US" w:eastAsia="zh-CN"/>
              </w:rPr>
              <w:t>2</w:t>
            </w:r>
            <w:r>
              <w:rPr>
                <w:rFonts w:hint="eastAsia" w:ascii="宋体" w:hAnsi="宋体" w:cs="宋体"/>
                <w:color w:val="auto"/>
                <w:kern w:val="0"/>
                <w:sz w:val="24"/>
                <w:szCs w:val="20"/>
                <w:highlight w:val="none"/>
                <w:lang w:eastAsia="zh-CN"/>
              </w:rPr>
              <w:t>）投标人</w:t>
            </w:r>
            <w:r>
              <w:rPr>
                <w:rFonts w:hint="eastAsia" w:ascii="宋体" w:hAnsi="宋体" w:cs="宋体"/>
                <w:color w:val="auto"/>
                <w:kern w:val="0"/>
                <w:sz w:val="24"/>
                <w:szCs w:val="20"/>
                <w:highlight w:val="none"/>
              </w:rPr>
              <w:t>应具有合格有效的行政主管部门颁发的施工企业安全生产许可证，并提供有效期内的证书扫描件。</w:t>
            </w:r>
          </w:p>
        </w:tc>
      </w:tr>
    </w:tbl>
    <w:p w14:paraId="3B9F894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6.3是否接受联合体投标：</w:t>
      </w:r>
    </w:p>
    <w:p w14:paraId="181DBB3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采购包1：不接受。</w:t>
      </w:r>
    </w:p>
    <w:p w14:paraId="5589E157">
      <w:pPr>
        <w:pStyle w:val="54"/>
        <w:widowControl w:val="0"/>
        <w:spacing w:line="360" w:lineRule="auto"/>
        <w:ind w:firstLine="482" w:firstLineChars="200"/>
        <w:jc w:val="both"/>
        <w:rPr>
          <w:rFonts w:hint="default" w:asciiTheme="minorEastAsia" w:hAnsiTheme="minorEastAsia"/>
          <w:color w:val="auto"/>
          <w:sz w:val="24"/>
          <w:szCs w:val="24"/>
          <w:highlight w:val="none"/>
        </w:rPr>
      </w:pPr>
      <w:r>
        <w:rPr>
          <w:rFonts w:asciiTheme="minorEastAsia" w:hAnsiTheme="minorEastAsia"/>
          <w:b/>
          <w:color w:val="auto"/>
          <w:sz w:val="24"/>
          <w:szCs w:val="24"/>
          <w:highlight w:val="none"/>
        </w:rPr>
        <w:t>※根据上述资格要求，电子投标文件中应提交的“投标人的资格及资信证明文件”详见招标文件第四章。</w:t>
      </w:r>
    </w:p>
    <w:p w14:paraId="15AA3696">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7、招标文件的获取</w:t>
      </w:r>
    </w:p>
    <w:p w14:paraId="7A4EEE0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7.1、招标文件获取期限：详见招标公告或更正公告，若不一致，以更正公告为准。</w:t>
      </w:r>
    </w:p>
    <w:p w14:paraId="01554BD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58E29B0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7.3、获取地点及方式：注册账号后，通过福建省政府采购网上公开信息系统以下载方式获取。</w:t>
      </w:r>
    </w:p>
    <w:p w14:paraId="2744EF5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7.4、招标文件售价：0元。</w:t>
      </w:r>
    </w:p>
    <w:p w14:paraId="51678839">
      <w:pPr>
        <w:pStyle w:val="54"/>
        <w:widowControl w:val="0"/>
        <w:spacing w:line="360" w:lineRule="auto"/>
        <w:ind w:firstLine="482" w:firstLineChars="200"/>
        <w:jc w:val="both"/>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8、投标截止</w:t>
      </w:r>
    </w:p>
    <w:p w14:paraId="434A22A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8.1、投标截止时间：详见招标公告或更正公告，若不一致，以更正公告为准。</w:t>
      </w:r>
    </w:p>
    <w:p w14:paraId="441D3AB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682D3AF8">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9、开标时间及地点</w:t>
      </w:r>
    </w:p>
    <w:p w14:paraId="768A703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详见招标公告或更正公告，若不一致，以更正公告为准。</w:t>
      </w:r>
    </w:p>
    <w:p w14:paraId="4C079B69">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10、公告期限</w:t>
      </w:r>
    </w:p>
    <w:p w14:paraId="7F3B460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10.1、招标公告的公告期限：自财政部和福建省财政厅指定的政府采购信息发布媒体最先发布公告之日起5个工作日。</w:t>
      </w:r>
    </w:p>
    <w:p w14:paraId="3AAD91D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10.2、招标文件公告期限：招标文件随同招标公告一并发布，其公告期限与招标公告的公告期限保持一致。</w:t>
      </w:r>
    </w:p>
    <w:p w14:paraId="4797E997">
      <w:pPr>
        <w:pStyle w:val="54"/>
        <w:widowControl w:val="0"/>
        <w:spacing w:line="360" w:lineRule="auto"/>
        <w:ind w:firstLine="482"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b/>
          <w:color w:val="auto"/>
          <w:sz w:val="24"/>
          <w:szCs w:val="24"/>
          <w:highlight w:val="none"/>
        </w:rPr>
        <w:t>11、采购人：</w:t>
      </w:r>
      <w:r>
        <w:rPr>
          <w:rFonts w:hint="eastAsia" w:asciiTheme="minorEastAsia" w:hAnsiTheme="minorEastAsia"/>
          <w:b/>
          <w:color w:val="auto"/>
          <w:sz w:val="24"/>
          <w:szCs w:val="24"/>
          <w:highlight w:val="none"/>
          <w:lang w:eastAsia="zh-CN"/>
        </w:rPr>
        <w:t>厦门市同安区五显镇人民政府</w:t>
      </w:r>
    </w:p>
    <w:p w14:paraId="2C33D4E8">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地址：</w:t>
      </w:r>
      <w:r>
        <w:rPr>
          <w:rFonts w:hint="eastAsia" w:asciiTheme="minorEastAsia" w:hAnsiTheme="minorEastAsia"/>
          <w:color w:val="auto"/>
          <w:sz w:val="24"/>
          <w:szCs w:val="24"/>
          <w:highlight w:val="none"/>
        </w:rPr>
        <w:t>福建省厦门市同安区五显镇西洋路9号</w:t>
      </w:r>
    </w:p>
    <w:p w14:paraId="52AC6010">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邮编：</w:t>
      </w:r>
      <w:r>
        <w:rPr>
          <w:rFonts w:hint="eastAsia" w:asciiTheme="minorEastAsia" w:hAnsiTheme="minorEastAsia"/>
          <w:color w:val="auto"/>
          <w:sz w:val="24"/>
          <w:szCs w:val="24"/>
          <w:highlight w:val="none"/>
        </w:rPr>
        <w:t>361199</w:t>
      </w:r>
    </w:p>
    <w:p w14:paraId="69F7FBFE">
      <w:pPr>
        <w:pStyle w:val="54"/>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联系人：</w:t>
      </w:r>
      <w:r>
        <w:rPr>
          <w:rFonts w:hint="eastAsia" w:asciiTheme="minorEastAsia" w:hAnsiTheme="minorEastAsia"/>
          <w:color w:val="auto"/>
          <w:sz w:val="24"/>
          <w:szCs w:val="24"/>
          <w:highlight w:val="none"/>
          <w:lang w:val="en-US" w:eastAsia="zh-CN"/>
        </w:rPr>
        <w:t>许先生</w:t>
      </w:r>
    </w:p>
    <w:p w14:paraId="2F6E83C7">
      <w:pPr>
        <w:pStyle w:val="54"/>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联系电话：</w:t>
      </w:r>
      <w:r>
        <w:rPr>
          <w:rFonts w:hint="eastAsia" w:asciiTheme="minorEastAsia" w:hAnsiTheme="minorEastAsia"/>
          <w:color w:val="auto"/>
          <w:sz w:val="24"/>
          <w:szCs w:val="24"/>
          <w:highlight w:val="none"/>
          <w:lang w:val="en-US" w:eastAsia="zh-CN"/>
        </w:rPr>
        <w:t>0592-7150135</w:t>
      </w:r>
    </w:p>
    <w:p w14:paraId="49E9779F">
      <w:pPr>
        <w:pStyle w:val="54"/>
        <w:widowControl w:val="0"/>
        <w:spacing w:line="360" w:lineRule="auto"/>
        <w:ind w:firstLine="482"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b/>
          <w:color w:val="auto"/>
          <w:sz w:val="24"/>
          <w:szCs w:val="24"/>
          <w:highlight w:val="none"/>
        </w:rPr>
        <w:t>12、代理机构：</w:t>
      </w:r>
      <w:r>
        <w:rPr>
          <w:rFonts w:hint="eastAsia" w:asciiTheme="minorEastAsia" w:hAnsiTheme="minorEastAsia"/>
          <w:b/>
          <w:color w:val="auto"/>
          <w:sz w:val="24"/>
          <w:szCs w:val="24"/>
          <w:highlight w:val="none"/>
          <w:lang w:eastAsia="zh-CN"/>
        </w:rPr>
        <w:t>福建宇宏工程项目管理有限公司</w:t>
      </w:r>
    </w:p>
    <w:p w14:paraId="419D1A15">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地址：</w:t>
      </w:r>
      <w:r>
        <w:rPr>
          <w:rFonts w:hint="eastAsia" w:asciiTheme="minorEastAsia" w:hAnsiTheme="minorEastAsia"/>
          <w:color w:val="auto"/>
          <w:sz w:val="24"/>
          <w:szCs w:val="24"/>
          <w:highlight w:val="none"/>
        </w:rPr>
        <w:t>福建省厦门市湖里区东黄路215号海西金融广场A栋17层</w:t>
      </w:r>
    </w:p>
    <w:p w14:paraId="2382C309">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邮编：</w:t>
      </w:r>
      <w:r>
        <w:rPr>
          <w:rFonts w:hint="eastAsia" w:asciiTheme="minorEastAsia" w:hAnsiTheme="minorEastAsia"/>
          <w:color w:val="auto"/>
          <w:sz w:val="24"/>
          <w:szCs w:val="24"/>
          <w:highlight w:val="none"/>
        </w:rPr>
        <w:t>361016</w:t>
      </w:r>
    </w:p>
    <w:p w14:paraId="3786BC4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联系人：</w:t>
      </w:r>
      <w:r>
        <w:rPr>
          <w:rFonts w:hint="eastAsia" w:asciiTheme="minorEastAsia" w:hAnsiTheme="minorEastAsia"/>
          <w:color w:val="auto"/>
          <w:sz w:val="24"/>
          <w:szCs w:val="24"/>
          <w:highlight w:val="none"/>
        </w:rPr>
        <w:t>王婷</w:t>
      </w:r>
    </w:p>
    <w:p w14:paraId="7880896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联系电话：</w:t>
      </w:r>
      <w:r>
        <w:rPr>
          <w:rFonts w:hint="eastAsia" w:asciiTheme="minorEastAsia" w:hAnsiTheme="minorEastAsia"/>
          <w:color w:val="auto"/>
          <w:sz w:val="24"/>
          <w:szCs w:val="24"/>
          <w:highlight w:val="none"/>
        </w:rPr>
        <w:t>0592-5527099</w:t>
      </w:r>
    </w:p>
    <w:p w14:paraId="4248B47E">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附1：账户信息</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1BCC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0C68443F">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投标保证金账户</w:t>
            </w:r>
          </w:p>
        </w:tc>
      </w:tr>
      <w:tr w14:paraId="2113D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5771E67F">
            <w:pPr>
              <w:pStyle w:val="54"/>
              <w:widowControl w:val="0"/>
              <w:spacing w:line="360" w:lineRule="auto"/>
              <w:jc w:val="both"/>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开户名称：</w:t>
            </w:r>
            <w:r>
              <w:rPr>
                <w:rFonts w:hint="eastAsia" w:asciiTheme="minorEastAsia" w:hAnsiTheme="minorEastAsia"/>
                <w:color w:val="auto"/>
                <w:sz w:val="24"/>
                <w:szCs w:val="24"/>
                <w:highlight w:val="none"/>
                <w:lang w:eastAsia="zh-CN"/>
              </w:rPr>
              <w:t>福建宇宏工程项目管理有限公司</w:t>
            </w:r>
          </w:p>
        </w:tc>
      </w:tr>
      <w:tr w14:paraId="35668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46BCD067">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开户银行：供应商在福建省政府采购网上公开信息系统获取招标文件后，根据其提示自行选择要缴交的投标保证金托管银行。</w:t>
            </w:r>
          </w:p>
        </w:tc>
      </w:tr>
      <w:tr w14:paraId="76986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81D9FF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E82A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46E81697">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特别提示</w:t>
            </w:r>
          </w:p>
        </w:tc>
      </w:tr>
      <w:tr w14:paraId="74138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5C488892">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1、投标人应认真核对账户信息，将投标保证金汇入以上账户，并自行承担因汇错投标保证金而产生的一切后果。</w:t>
            </w:r>
          </w:p>
          <w:p w14:paraId="5F19602D">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2、投标人在转账或电汇的凭证上应按照以下格式注明，以便核对：“（项目编号：***）的投标保证金”。</w:t>
            </w:r>
          </w:p>
        </w:tc>
      </w:tr>
    </w:tbl>
    <w:p w14:paraId="30A9DCE2">
      <w:pPr>
        <w:pStyle w:val="54"/>
        <w:widowControl w:val="0"/>
        <w:spacing w:line="360" w:lineRule="auto"/>
        <w:ind w:firstLine="482" w:firstLineChars="200"/>
        <w:rPr>
          <w:rFonts w:hint="default" w:asciiTheme="minorEastAsia" w:hAnsiTheme="minorEastAsia"/>
          <w:b/>
          <w:color w:val="auto"/>
          <w:sz w:val="24"/>
          <w:szCs w:val="24"/>
          <w:highlight w:val="none"/>
        </w:rPr>
      </w:pPr>
    </w:p>
    <w:p w14:paraId="71DE970A">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附2：采购标的一览表</w:t>
      </w:r>
    </w:p>
    <w:p w14:paraId="7C3F183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p w14:paraId="20489FD4">
      <w:pPr>
        <w:pStyle w:val="54"/>
        <w:widowControl w:val="0"/>
        <w:spacing w:line="360" w:lineRule="auto"/>
        <w:ind w:firstLine="480" w:firstLineChars="200"/>
        <w:rPr>
          <w:rFonts w:hint="default" w:asciiTheme="minorEastAsia" w:hAnsiTheme="minorEastAsia"/>
          <w:color w:val="auto"/>
          <w:sz w:val="24"/>
          <w:szCs w:val="24"/>
          <w:highlight w:val="none"/>
          <w:lang w:val="en-US"/>
        </w:rPr>
      </w:pPr>
      <w:r>
        <w:rPr>
          <w:rFonts w:asciiTheme="minorEastAsia" w:hAnsiTheme="minorEastAsia"/>
          <w:color w:val="auto"/>
          <w:sz w:val="24"/>
          <w:szCs w:val="24"/>
          <w:highlight w:val="none"/>
        </w:rPr>
        <w:t>采购包预算金额（元）：</w:t>
      </w:r>
      <w:r>
        <w:rPr>
          <w:rFonts w:hint="eastAsia" w:asciiTheme="minorEastAsia" w:hAnsiTheme="minorEastAsia"/>
          <w:color w:val="auto"/>
          <w:sz w:val="24"/>
          <w:szCs w:val="24"/>
          <w:highlight w:val="none"/>
          <w:lang w:val="en-US" w:eastAsia="zh-CN"/>
        </w:rPr>
        <w:t>6746700</w:t>
      </w:r>
    </w:p>
    <w:p w14:paraId="4791C425">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采购包最高限价（元）：</w:t>
      </w:r>
    </w:p>
    <w:p w14:paraId="2D682026">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采购包保证金金额（元）：0.00</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609"/>
        <w:gridCol w:w="1187"/>
        <w:gridCol w:w="1776"/>
        <w:gridCol w:w="1187"/>
        <w:gridCol w:w="1187"/>
        <w:gridCol w:w="1187"/>
      </w:tblGrid>
      <w:tr w14:paraId="0009A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2B4FB14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1609" w:type="dxa"/>
            <w:vAlign w:val="center"/>
          </w:tcPr>
          <w:p w14:paraId="7F63849B">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标的名称</w:t>
            </w:r>
          </w:p>
        </w:tc>
        <w:tc>
          <w:tcPr>
            <w:tcW w:w="1187" w:type="dxa"/>
            <w:vAlign w:val="center"/>
          </w:tcPr>
          <w:p w14:paraId="0B101A1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1776" w:type="dxa"/>
            <w:vAlign w:val="center"/>
          </w:tcPr>
          <w:p w14:paraId="26DAB3C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标的金额 （元）</w:t>
            </w:r>
          </w:p>
        </w:tc>
        <w:tc>
          <w:tcPr>
            <w:tcW w:w="1187" w:type="dxa"/>
            <w:vAlign w:val="center"/>
          </w:tcPr>
          <w:p w14:paraId="1ED16C5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计量单位</w:t>
            </w:r>
          </w:p>
        </w:tc>
        <w:tc>
          <w:tcPr>
            <w:tcW w:w="1187" w:type="dxa"/>
            <w:vAlign w:val="center"/>
          </w:tcPr>
          <w:p w14:paraId="18245CE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所属行业</w:t>
            </w:r>
          </w:p>
        </w:tc>
        <w:tc>
          <w:tcPr>
            <w:tcW w:w="1187" w:type="dxa"/>
            <w:vAlign w:val="center"/>
          </w:tcPr>
          <w:p w14:paraId="46865D5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是否允许进口产品</w:t>
            </w:r>
          </w:p>
        </w:tc>
      </w:tr>
      <w:tr w14:paraId="3DA0A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02B9D5C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609" w:type="dxa"/>
            <w:vAlign w:val="center"/>
          </w:tcPr>
          <w:p w14:paraId="4B71769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东溪布塘水闸重建工程</w:t>
            </w:r>
          </w:p>
        </w:tc>
        <w:tc>
          <w:tcPr>
            <w:tcW w:w="1187" w:type="dxa"/>
            <w:vAlign w:val="center"/>
          </w:tcPr>
          <w:p w14:paraId="4C3AA721">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w:t>
            </w:r>
          </w:p>
        </w:tc>
        <w:tc>
          <w:tcPr>
            <w:tcW w:w="1776" w:type="dxa"/>
            <w:vAlign w:val="center"/>
          </w:tcPr>
          <w:p w14:paraId="3A21D12E">
            <w:pPr>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6746700</w:t>
            </w:r>
          </w:p>
        </w:tc>
        <w:tc>
          <w:tcPr>
            <w:tcW w:w="1187" w:type="dxa"/>
            <w:vAlign w:val="center"/>
          </w:tcPr>
          <w:p w14:paraId="78E0D056">
            <w:pPr>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批</w:t>
            </w:r>
          </w:p>
        </w:tc>
        <w:tc>
          <w:tcPr>
            <w:tcW w:w="1187" w:type="dxa"/>
            <w:vAlign w:val="center"/>
          </w:tcPr>
          <w:p w14:paraId="7866DECA">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工业</w:t>
            </w:r>
          </w:p>
        </w:tc>
        <w:tc>
          <w:tcPr>
            <w:tcW w:w="1187" w:type="dxa"/>
            <w:vAlign w:val="center"/>
          </w:tcPr>
          <w:p w14:paraId="1E6BEC85">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否</w:t>
            </w:r>
          </w:p>
        </w:tc>
      </w:tr>
    </w:tbl>
    <w:p w14:paraId="5077ECAA">
      <w:pPr>
        <w:pStyle w:val="54"/>
        <w:widowControl w:val="0"/>
        <w:rPr>
          <w:rFonts w:hint="default"/>
          <w:color w:val="auto"/>
          <w:highlight w:val="none"/>
        </w:rPr>
      </w:pPr>
    </w:p>
    <w:p w14:paraId="5E63B9FC">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采购包1：</w:t>
      </w:r>
    </w:p>
    <w:p w14:paraId="766A5DBD">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（1）报价要求：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3046"/>
        <w:gridCol w:w="737"/>
        <w:gridCol w:w="737"/>
        <w:gridCol w:w="1384"/>
        <w:gridCol w:w="1384"/>
        <w:gridCol w:w="1038"/>
      </w:tblGrid>
      <w:tr w14:paraId="5A7D7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0BD51007">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序号</w:t>
            </w:r>
          </w:p>
        </w:tc>
        <w:tc>
          <w:tcPr>
            <w:tcW w:w="3046" w:type="dxa"/>
            <w:vAlign w:val="center"/>
          </w:tcPr>
          <w:p w14:paraId="2119337E">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报价内容</w:t>
            </w:r>
          </w:p>
        </w:tc>
        <w:tc>
          <w:tcPr>
            <w:tcW w:w="737" w:type="dxa"/>
            <w:vAlign w:val="center"/>
          </w:tcPr>
          <w:p w14:paraId="3744111F">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计量</w:t>
            </w:r>
          </w:p>
          <w:p w14:paraId="642797EF">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单位</w:t>
            </w:r>
          </w:p>
        </w:tc>
        <w:tc>
          <w:tcPr>
            <w:tcW w:w="737" w:type="dxa"/>
            <w:vAlign w:val="center"/>
          </w:tcPr>
          <w:p w14:paraId="2490DE46">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0C33B042">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单位</w:t>
            </w:r>
          </w:p>
        </w:tc>
        <w:tc>
          <w:tcPr>
            <w:tcW w:w="1384" w:type="dxa"/>
            <w:vAlign w:val="center"/>
          </w:tcPr>
          <w:p w14:paraId="0A336808">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最高限价</w:t>
            </w:r>
          </w:p>
        </w:tc>
        <w:tc>
          <w:tcPr>
            <w:tcW w:w="1384" w:type="dxa"/>
            <w:vAlign w:val="center"/>
          </w:tcPr>
          <w:p w14:paraId="39A7235F">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价款形式</w:t>
            </w:r>
          </w:p>
        </w:tc>
        <w:tc>
          <w:tcPr>
            <w:tcW w:w="1038" w:type="dxa"/>
            <w:vAlign w:val="center"/>
          </w:tcPr>
          <w:p w14:paraId="4D855C30">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14A561E5">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说明</w:t>
            </w:r>
          </w:p>
        </w:tc>
      </w:tr>
      <w:tr w14:paraId="093A3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469E6E61">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1</w:t>
            </w:r>
          </w:p>
        </w:tc>
        <w:tc>
          <w:tcPr>
            <w:tcW w:w="3046" w:type="dxa"/>
            <w:vAlign w:val="center"/>
          </w:tcPr>
          <w:p w14:paraId="0F08A2D4">
            <w:pPr>
              <w:spacing w:line="360" w:lineRule="auto"/>
              <w:jc w:val="center"/>
              <w:rPr>
                <w:rFonts w:hint="eastAsia" w:asciiTheme="minorEastAsia" w:hAnsiTheme="minorEastAsia" w:eastAsiaTheme="minorEastAsia"/>
                <w:color w:val="auto"/>
                <w:kern w:val="0"/>
                <w:sz w:val="24"/>
                <w:szCs w:val="24"/>
                <w:highlight w:val="none"/>
                <w:lang w:eastAsia="zh-CN"/>
              </w:rPr>
            </w:pPr>
            <w:r>
              <w:rPr>
                <w:rFonts w:hint="eastAsia" w:asciiTheme="minorEastAsia" w:hAnsiTheme="minorEastAsia"/>
                <w:color w:val="auto"/>
                <w:kern w:val="0"/>
                <w:sz w:val="24"/>
                <w:szCs w:val="24"/>
                <w:highlight w:val="none"/>
                <w:lang w:eastAsia="zh-CN"/>
              </w:rPr>
              <w:t>东溪布塘水闸重建工程</w:t>
            </w:r>
          </w:p>
        </w:tc>
        <w:tc>
          <w:tcPr>
            <w:tcW w:w="737" w:type="dxa"/>
            <w:vAlign w:val="center"/>
          </w:tcPr>
          <w:p w14:paraId="5B29FFCB">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sz w:val="24"/>
                <w:szCs w:val="24"/>
                <w:highlight w:val="none"/>
                <w:lang w:val="en-US" w:eastAsia="zh-CN"/>
              </w:rPr>
              <w:t>批</w:t>
            </w:r>
          </w:p>
        </w:tc>
        <w:tc>
          <w:tcPr>
            <w:tcW w:w="737" w:type="dxa"/>
            <w:vAlign w:val="center"/>
          </w:tcPr>
          <w:p w14:paraId="5D610D3A">
            <w:pPr>
              <w:spacing w:line="360" w:lineRule="auto"/>
              <w:jc w:val="center"/>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kern w:val="0"/>
                <w:sz w:val="24"/>
                <w:szCs w:val="24"/>
                <w:highlight w:val="none"/>
                <w:lang w:val="en-US" w:eastAsia="zh-CN"/>
              </w:rPr>
              <w:t>元</w:t>
            </w:r>
          </w:p>
        </w:tc>
        <w:tc>
          <w:tcPr>
            <w:tcW w:w="1384" w:type="dxa"/>
            <w:vAlign w:val="center"/>
          </w:tcPr>
          <w:p w14:paraId="066F6A3A">
            <w:pPr>
              <w:spacing w:line="360" w:lineRule="auto"/>
              <w:jc w:val="center"/>
              <w:rPr>
                <w:rFonts w:asciiTheme="minorEastAsia" w:hAnsiTheme="minorEastAsia"/>
                <w:color w:val="auto"/>
                <w:kern w:val="0"/>
                <w:sz w:val="24"/>
                <w:szCs w:val="24"/>
                <w:highlight w:val="none"/>
              </w:rPr>
            </w:pPr>
          </w:p>
        </w:tc>
        <w:tc>
          <w:tcPr>
            <w:tcW w:w="1384" w:type="dxa"/>
            <w:vAlign w:val="center"/>
          </w:tcPr>
          <w:p w14:paraId="7C6F97C3">
            <w:pPr>
              <w:spacing w:line="360" w:lineRule="auto"/>
              <w:jc w:val="center"/>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kern w:val="0"/>
                <w:sz w:val="24"/>
                <w:szCs w:val="24"/>
                <w:highlight w:val="none"/>
                <w:lang w:val="en-US" w:eastAsia="zh-CN"/>
              </w:rPr>
              <w:t>总价</w:t>
            </w:r>
          </w:p>
        </w:tc>
        <w:tc>
          <w:tcPr>
            <w:tcW w:w="1038" w:type="dxa"/>
            <w:vAlign w:val="center"/>
          </w:tcPr>
          <w:p w14:paraId="2437FC85">
            <w:pPr>
              <w:spacing w:line="360" w:lineRule="auto"/>
              <w:jc w:val="center"/>
              <w:rPr>
                <w:rFonts w:hint="default"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kern w:val="0"/>
                <w:sz w:val="24"/>
                <w:szCs w:val="24"/>
                <w:highlight w:val="none"/>
                <w:lang w:val="en-US" w:eastAsia="zh-CN"/>
              </w:rPr>
              <w:t>具体详见招标文件第五章报价要求。</w:t>
            </w:r>
          </w:p>
        </w:tc>
      </w:tr>
    </w:tbl>
    <w:p w14:paraId="4696802E">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（2）报价明细要求：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3"/>
        <w:gridCol w:w="2304"/>
        <w:gridCol w:w="1345"/>
        <w:gridCol w:w="910"/>
        <w:gridCol w:w="910"/>
        <w:gridCol w:w="1056"/>
        <w:gridCol w:w="910"/>
        <w:gridCol w:w="911"/>
      </w:tblGrid>
      <w:tr w14:paraId="02A74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0845C20E">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序号</w:t>
            </w:r>
          </w:p>
        </w:tc>
        <w:tc>
          <w:tcPr>
            <w:tcW w:w="2304" w:type="dxa"/>
            <w:vAlign w:val="center"/>
          </w:tcPr>
          <w:p w14:paraId="48995D71">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报价明细内容</w:t>
            </w:r>
          </w:p>
        </w:tc>
        <w:tc>
          <w:tcPr>
            <w:tcW w:w="1345" w:type="dxa"/>
            <w:vAlign w:val="center"/>
          </w:tcPr>
          <w:p w14:paraId="7BEDE40B">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29DFD969">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要求</w:t>
            </w:r>
          </w:p>
        </w:tc>
        <w:tc>
          <w:tcPr>
            <w:tcW w:w="910" w:type="dxa"/>
            <w:vAlign w:val="center"/>
          </w:tcPr>
          <w:p w14:paraId="50D7AC7D">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计量</w:t>
            </w:r>
          </w:p>
          <w:p w14:paraId="10EF1C7F">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单位</w:t>
            </w:r>
          </w:p>
        </w:tc>
        <w:tc>
          <w:tcPr>
            <w:tcW w:w="910" w:type="dxa"/>
            <w:vAlign w:val="center"/>
          </w:tcPr>
          <w:p w14:paraId="27B40DAA">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282DDE31">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单位</w:t>
            </w:r>
          </w:p>
        </w:tc>
        <w:tc>
          <w:tcPr>
            <w:tcW w:w="910" w:type="dxa"/>
            <w:vAlign w:val="center"/>
          </w:tcPr>
          <w:p w14:paraId="686DE0AD">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最高</w:t>
            </w:r>
          </w:p>
          <w:p w14:paraId="3AD7B25B">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限价</w:t>
            </w:r>
          </w:p>
        </w:tc>
        <w:tc>
          <w:tcPr>
            <w:tcW w:w="910" w:type="dxa"/>
            <w:vAlign w:val="center"/>
          </w:tcPr>
          <w:p w14:paraId="1B12AA2D">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价款</w:t>
            </w:r>
          </w:p>
          <w:p w14:paraId="44E35FF1">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形式</w:t>
            </w:r>
          </w:p>
        </w:tc>
        <w:tc>
          <w:tcPr>
            <w:tcW w:w="911" w:type="dxa"/>
            <w:vAlign w:val="center"/>
          </w:tcPr>
          <w:p w14:paraId="4569176C">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0E51ABB9">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说明</w:t>
            </w:r>
          </w:p>
        </w:tc>
      </w:tr>
      <w:tr w14:paraId="5251C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38FCDA7B">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1</w:t>
            </w:r>
          </w:p>
        </w:tc>
        <w:tc>
          <w:tcPr>
            <w:tcW w:w="2304" w:type="dxa"/>
            <w:vAlign w:val="center"/>
          </w:tcPr>
          <w:p w14:paraId="6734C130">
            <w:pPr>
              <w:spacing w:line="360" w:lineRule="auto"/>
              <w:jc w:val="center"/>
              <w:rPr>
                <w:rFonts w:hint="eastAsia" w:asciiTheme="minorEastAsia" w:hAnsiTheme="minorEastAsia" w:eastAsiaTheme="minorEastAsia"/>
                <w:color w:val="auto"/>
                <w:kern w:val="0"/>
                <w:sz w:val="24"/>
                <w:szCs w:val="24"/>
                <w:highlight w:val="none"/>
                <w:lang w:eastAsia="zh-CN"/>
              </w:rPr>
            </w:pPr>
            <w:r>
              <w:rPr>
                <w:rFonts w:hint="eastAsia" w:asciiTheme="minorEastAsia" w:hAnsiTheme="minorEastAsia"/>
                <w:color w:val="auto"/>
                <w:kern w:val="0"/>
                <w:sz w:val="24"/>
                <w:szCs w:val="24"/>
                <w:highlight w:val="none"/>
                <w:lang w:eastAsia="zh-CN"/>
              </w:rPr>
              <w:t>东溪布塘水闸重建工程</w:t>
            </w:r>
          </w:p>
        </w:tc>
        <w:tc>
          <w:tcPr>
            <w:tcW w:w="1345" w:type="dxa"/>
            <w:vAlign w:val="center"/>
          </w:tcPr>
          <w:p w14:paraId="561EAFCE">
            <w:pPr>
              <w:spacing w:line="360" w:lineRule="auto"/>
              <w:jc w:val="center"/>
              <w:rPr>
                <w:rFonts w:asciiTheme="minorEastAsia" w:hAnsiTheme="minorEastAsia"/>
                <w:color w:val="auto"/>
                <w:kern w:val="0"/>
                <w:sz w:val="24"/>
                <w:szCs w:val="24"/>
                <w:highlight w:val="none"/>
              </w:rPr>
            </w:pPr>
          </w:p>
        </w:tc>
        <w:tc>
          <w:tcPr>
            <w:tcW w:w="910" w:type="dxa"/>
            <w:vAlign w:val="center"/>
          </w:tcPr>
          <w:p w14:paraId="1536B770">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sz w:val="24"/>
                <w:szCs w:val="24"/>
                <w:highlight w:val="none"/>
                <w:lang w:val="en-US" w:eastAsia="zh-CN"/>
              </w:rPr>
              <w:t>批</w:t>
            </w:r>
          </w:p>
        </w:tc>
        <w:tc>
          <w:tcPr>
            <w:tcW w:w="910" w:type="dxa"/>
            <w:vAlign w:val="center"/>
          </w:tcPr>
          <w:p w14:paraId="11EE4E19">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lang w:val="en-US" w:eastAsia="zh-CN"/>
              </w:rPr>
              <w:t>元</w:t>
            </w:r>
          </w:p>
        </w:tc>
        <w:tc>
          <w:tcPr>
            <w:tcW w:w="910" w:type="dxa"/>
            <w:vAlign w:val="center"/>
          </w:tcPr>
          <w:p w14:paraId="5D2ECFC1">
            <w:pPr>
              <w:spacing w:line="360" w:lineRule="auto"/>
              <w:jc w:val="center"/>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sz w:val="24"/>
                <w:szCs w:val="24"/>
                <w:highlight w:val="none"/>
                <w:lang w:val="en-US" w:eastAsia="zh-CN"/>
              </w:rPr>
              <w:t>6746700</w:t>
            </w:r>
          </w:p>
        </w:tc>
        <w:tc>
          <w:tcPr>
            <w:tcW w:w="910" w:type="dxa"/>
            <w:vAlign w:val="center"/>
          </w:tcPr>
          <w:p w14:paraId="53BC918D">
            <w:pPr>
              <w:spacing w:line="360" w:lineRule="auto"/>
              <w:jc w:val="center"/>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kern w:val="0"/>
                <w:sz w:val="24"/>
                <w:szCs w:val="24"/>
                <w:highlight w:val="none"/>
                <w:lang w:val="en-US" w:eastAsia="zh-CN"/>
              </w:rPr>
              <w:t>总价</w:t>
            </w:r>
          </w:p>
        </w:tc>
        <w:tc>
          <w:tcPr>
            <w:tcW w:w="911" w:type="dxa"/>
            <w:vAlign w:val="center"/>
          </w:tcPr>
          <w:p w14:paraId="227672FC">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lang w:val="en-US" w:eastAsia="zh-CN"/>
              </w:rPr>
              <w:t>具体详见招标文件第五章报价要求。</w:t>
            </w:r>
          </w:p>
        </w:tc>
      </w:tr>
    </w:tbl>
    <w:p w14:paraId="006696D0">
      <w:pPr>
        <w:pStyle w:val="54"/>
        <w:widowControl w:val="0"/>
        <w:rPr>
          <w:rFonts w:hint="default"/>
          <w:color w:val="auto"/>
          <w:highlight w:val="none"/>
        </w:rPr>
      </w:pPr>
    </w:p>
    <w:p w14:paraId="397CE439">
      <w:pPr>
        <w:pStyle w:val="54"/>
        <w:widowControl w:val="0"/>
        <w:rPr>
          <w:rFonts w:hint="default"/>
          <w:color w:val="auto"/>
          <w:highlight w:val="none"/>
        </w:rPr>
      </w:pPr>
    </w:p>
    <w:p w14:paraId="24EB3A0F">
      <w:pPr>
        <w:pStyle w:val="54"/>
        <w:widowControl w:val="0"/>
        <w:rPr>
          <w:rFonts w:hint="default"/>
          <w:color w:val="auto"/>
          <w:highlight w:val="none"/>
        </w:rPr>
      </w:pPr>
    </w:p>
    <w:p w14:paraId="4105EA1B">
      <w:pPr>
        <w:pStyle w:val="54"/>
        <w:widowControl w:val="0"/>
        <w:rPr>
          <w:rFonts w:hint="default"/>
          <w:color w:val="auto"/>
          <w:highlight w:val="none"/>
        </w:rPr>
      </w:pPr>
    </w:p>
    <w:p w14:paraId="558010F4">
      <w:pPr>
        <w:pStyle w:val="54"/>
        <w:widowControl w:val="0"/>
        <w:rPr>
          <w:rFonts w:hint="default"/>
          <w:color w:val="auto"/>
          <w:highlight w:val="none"/>
        </w:rPr>
      </w:pPr>
    </w:p>
    <w:p w14:paraId="388A48B2">
      <w:pPr>
        <w:pStyle w:val="54"/>
        <w:widowControl w:val="0"/>
        <w:rPr>
          <w:rFonts w:hint="default"/>
          <w:color w:val="auto"/>
          <w:highlight w:val="none"/>
        </w:rPr>
        <w:sectPr>
          <w:pgSz w:w="11906" w:h="16838"/>
          <w:pgMar w:top="1418" w:right="1418" w:bottom="1418" w:left="1418" w:header="851" w:footer="992" w:gutter="0"/>
          <w:cols w:space="425" w:num="1"/>
          <w:docGrid w:type="lines" w:linePitch="312" w:charSpace="0"/>
        </w:sectPr>
      </w:pPr>
    </w:p>
    <w:p w14:paraId="564D08CF">
      <w:pPr>
        <w:pStyle w:val="54"/>
        <w:widowControl w:val="0"/>
        <w:rPr>
          <w:rFonts w:hint="default"/>
          <w:color w:val="auto"/>
          <w:highlight w:val="none"/>
        </w:rPr>
        <w:sectPr>
          <w:type w:val="continuous"/>
          <w:pgSz w:w="11906" w:h="16838"/>
          <w:pgMar w:top="1418" w:right="1418" w:bottom="1418" w:left="1418" w:header="851" w:footer="992" w:gutter="0"/>
          <w:cols w:space="425" w:num="1"/>
          <w:docGrid w:type="lines" w:linePitch="312" w:charSpace="0"/>
        </w:sectPr>
      </w:pPr>
    </w:p>
    <w:p w14:paraId="4ACEEA88">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 w:name="_Toc139103805"/>
      <w:r>
        <w:rPr>
          <w:rFonts w:ascii="黑体" w:hAnsi="黑体" w:eastAsia="黑体" w:cs="Times New Roman"/>
          <w:color w:val="auto"/>
          <w:kern w:val="0"/>
          <w:sz w:val="32"/>
          <w:szCs w:val="44"/>
          <w:highlight w:val="none"/>
        </w:rPr>
        <w:t>第二章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投标人须知前附表</w:t>
      </w:r>
      <w:bookmarkEnd w:id="1"/>
    </w:p>
    <w:p w14:paraId="2E97B284">
      <w:pPr>
        <w:pStyle w:val="3"/>
        <w:spacing w:beforeLines="100" w:afterLines="100" w:line="240" w:lineRule="auto"/>
        <w:jc w:val="center"/>
        <w:rPr>
          <w:rFonts w:ascii="黑体" w:hAnsi="黑体" w:eastAsia="黑体" w:cs="Times New Roman"/>
          <w:color w:val="auto"/>
          <w:kern w:val="0"/>
          <w:sz w:val="30"/>
          <w:highlight w:val="none"/>
        </w:rPr>
      </w:pPr>
      <w:bookmarkStart w:id="2" w:name="_Toc139103806"/>
      <w:r>
        <w:rPr>
          <w:rFonts w:ascii="黑体" w:hAnsi="黑体" w:eastAsia="黑体" w:cs="Times New Roman"/>
          <w:color w:val="auto"/>
          <w:kern w:val="0"/>
          <w:sz w:val="30"/>
          <w:highlight w:val="none"/>
        </w:rPr>
        <w:t>一、投标人须知前附表1</w:t>
      </w:r>
      <w:bookmarkEnd w:id="2"/>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418"/>
        <w:gridCol w:w="7189"/>
      </w:tblGrid>
      <w:tr w14:paraId="5BC6A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78" w:type="dxa"/>
            <w:gridSpan w:val="3"/>
            <w:vAlign w:val="center"/>
          </w:tcPr>
          <w:p w14:paraId="4F7DBAD5">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特别提示：本表与招标文件对应章节的内容若不一致，以本表为准。</w:t>
            </w:r>
          </w:p>
        </w:tc>
      </w:tr>
      <w:tr w14:paraId="78C03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C3C0B8E">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1418" w:type="dxa"/>
            <w:vAlign w:val="center"/>
          </w:tcPr>
          <w:p w14:paraId="1EC57500">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招标文件</w:t>
            </w:r>
          </w:p>
          <w:p w14:paraId="66E03E70">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（第三章）</w:t>
            </w:r>
          </w:p>
        </w:tc>
        <w:tc>
          <w:tcPr>
            <w:tcW w:w="7189" w:type="dxa"/>
            <w:vAlign w:val="center"/>
          </w:tcPr>
          <w:p w14:paraId="0ECB915C">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编列内容</w:t>
            </w:r>
          </w:p>
        </w:tc>
      </w:tr>
      <w:tr w14:paraId="3FA47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241522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418" w:type="dxa"/>
            <w:vAlign w:val="center"/>
          </w:tcPr>
          <w:p w14:paraId="18E4CAD8">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w:t>
            </w:r>
          </w:p>
        </w:tc>
        <w:tc>
          <w:tcPr>
            <w:tcW w:w="7189" w:type="dxa"/>
            <w:vAlign w:val="center"/>
          </w:tcPr>
          <w:p w14:paraId="681C3987">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是否组织现场考察或召开开标前答疑会：</w:t>
            </w:r>
          </w:p>
          <w:p w14:paraId="13E31FE1">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采购包1：不组织</w:t>
            </w:r>
          </w:p>
        </w:tc>
      </w:tr>
      <w:tr w14:paraId="39377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3B53E67">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p>
        </w:tc>
        <w:tc>
          <w:tcPr>
            <w:tcW w:w="1418" w:type="dxa"/>
            <w:vAlign w:val="center"/>
          </w:tcPr>
          <w:p w14:paraId="7631BA5A">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10.4</w:t>
            </w:r>
          </w:p>
        </w:tc>
        <w:tc>
          <w:tcPr>
            <w:tcW w:w="7189" w:type="dxa"/>
            <w:vAlign w:val="center"/>
          </w:tcPr>
          <w:p w14:paraId="5AB99BB0">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投标文件的份数：</w:t>
            </w:r>
          </w:p>
          <w:p w14:paraId="1A90ABA5">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（1）可读介质（光盘或U盘）0份：投标人应将其上传至福建省政府采购网上公开信息系统的电子投标文件在该可读介质中另存0份。</w:t>
            </w:r>
          </w:p>
          <w:p w14:paraId="381E15AF">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（2）电子投标文件：详见投标人须知前附表2《关于电子招标投标活动的专门规定》。</w:t>
            </w:r>
          </w:p>
        </w:tc>
      </w:tr>
      <w:tr w14:paraId="105C4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5DCC03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w:t>
            </w:r>
          </w:p>
        </w:tc>
        <w:tc>
          <w:tcPr>
            <w:tcW w:w="1418" w:type="dxa"/>
            <w:vAlign w:val="center"/>
          </w:tcPr>
          <w:p w14:paraId="02B910DF">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10.7-（1）</w:t>
            </w:r>
          </w:p>
        </w:tc>
        <w:tc>
          <w:tcPr>
            <w:tcW w:w="7189" w:type="dxa"/>
            <w:vAlign w:val="center"/>
          </w:tcPr>
          <w:p w14:paraId="341B9117">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是否允许中标人将本项目的非主体、非关键性工作进行分包：</w:t>
            </w:r>
          </w:p>
          <w:p w14:paraId="47A83E55">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xml:space="preserve">采购包1：分包比例40%，分包履行的内容： </w:t>
            </w:r>
          </w:p>
          <w:p w14:paraId="74C185E4">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（1）本项目预留份额给中小企业的含义是：根据《政府采购促进中小企业发展管理办法》的规定，</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所投货物中，由中小企业制造的产品金额不低于报价总额的40%，其中小微企业制造的产品金额不低于报价总额的24%。如有疑问请联系代理机构咨询。（2）本项目</w:t>
            </w:r>
            <w:r>
              <w:rPr>
                <w:rFonts w:hint="eastAsia" w:asciiTheme="minorEastAsia" w:hAnsiTheme="minorEastAsia"/>
                <w:color w:val="auto"/>
                <w:sz w:val="24"/>
                <w:szCs w:val="24"/>
                <w:highlight w:val="none"/>
                <w:lang w:val="en-US" w:eastAsia="zh-CN"/>
              </w:rPr>
              <w:t>中的土建部分允许投标人分包给具有</w:t>
            </w:r>
            <w:r>
              <w:rPr>
                <w:rFonts w:hint="eastAsia" w:ascii="宋体" w:hAnsi="宋体" w:cs="宋体"/>
                <w:color w:val="auto"/>
                <w:kern w:val="0"/>
                <w:sz w:val="24"/>
                <w:szCs w:val="20"/>
                <w:highlight w:val="none"/>
              </w:rPr>
              <w:t>水利水电工程施工总承包三级（含）以上资质</w:t>
            </w:r>
            <w:r>
              <w:rPr>
                <w:rFonts w:hint="eastAsia" w:asciiTheme="minorEastAsia" w:hAnsiTheme="minorEastAsia"/>
                <w:color w:val="auto"/>
                <w:sz w:val="24"/>
                <w:szCs w:val="24"/>
                <w:highlight w:val="none"/>
                <w:lang w:val="en-US" w:eastAsia="zh-CN"/>
              </w:rPr>
              <w:t>的单位实施，若投标人不分包的，则投标人须同时具有</w:t>
            </w:r>
            <w:r>
              <w:rPr>
                <w:rFonts w:hint="eastAsia" w:ascii="宋体" w:hAnsi="宋体" w:cs="宋体"/>
                <w:color w:val="auto"/>
                <w:kern w:val="0"/>
                <w:sz w:val="24"/>
                <w:szCs w:val="20"/>
                <w:highlight w:val="none"/>
              </w:rPr>
              <w:t>水利水电工程施工总承包三级（含）以上资质</w:t>
            </w:r>
            <w:r>
              <w:rPr>
                <w:rFonts w:asciiTheme="minorEastAsia" w:hAnsiTheme="minorEastAsia"/>
                <w:color w:val="auto"/>
                <w:sz w:val="24"/>
                <w:szCs w:val="24"/>
                <w:highlight w:val="none"/>
              </w:rPr>
              <w:t>。</w:t>
            </w:r>
          </w:p>
        </w:tc>
      </w:tr>
      <w:tr w14:paraId="297F8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1C946745">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w:t>
            </w:r>
          </w:p>
        </w:tc>
        <w:tc>
          <w:tcPr>
            <w:tcW w:w="1418" w:type="dxa"/>
            <w:vAlign w:val="center"/>
          </w:tcPr>
          <w:p w14:paraId="043BCFDB">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10.8-（1）</w:t>
            </w:r>
          </w:p>
        </w:tc>
        <w:tc>
          <w:tcPr>
            <w:tcW w:w="7189" w:type="dxa"/>
            <w:vAlign w:val="center"/>
          </w:tcPr>
          <w:p w14:paraId="25634B09">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投标有效期：投标截止时间起90个日历日。</w:t>
            </w:r>
          </w:p>
        </w:tc>
      </w:tr>
      <w:tr w14:paraId="0F6CD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4CFDC1E">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w:t>
            </w:r>
          </w:p>
        </w:tc>
        <w:tc>
          <w:tcPr>
            <w:tcW w:w="1418" w:type="dxa"/>
            <w:vAlign w:val="center"/>
          </w:tcPr>
          <w:p w14:paraId="7A9961EE">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12.1</w:t>
            </w:r>
          </w:p>
        </w:tc>
        <w:tc>
          <w:tcPr>
            <w:tcW w:w="7189" w:type="dxa"/>
            <w:vAlign w:val="center"/>
          </w:tcPr>
          <w:p w14:paraId="29EC6D66">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确定中标候选人名单：</w:t>
            </w:r>
          </w:p>
          <w:p w14:paraId="061DAA13">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采购包1：3名</w:t>
            </w:r>
          </w:p>
        </w:tc>
      </w:tr>
      <w:tr w14:paraId="53081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54B4EA35">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w:t>
            </w:r>
          </w:p>
        </w:tc>
        <w:tc>
          <w:tcPr>
            <w:tcW w:w="1418" w:type="dxa"/>
            <w:vAlign w:val="center"/>
          </w:tcPr>
          <w:p w14:paraId="1384749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12.2</w:t>
            </w:r>
          </w:p>
        </w:tc>
        <w:tc>
          <w:tcPr>
            <w:tcW w:w="7189" w:type="dxa"/>
            <w:vAlign w:val="center"/>
          </w:tcPr>
          <w:p w14:paraId="16F17896">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本项目中标人的确定（以采购包为单位）：</w:t>
            </w:r>
          </w:p>
          <w:p w14:paraId="5C23E01F">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（1）采购人应在政府采购招投标管理办法规定的时限内确定中标人。</w:t>
            </w:r>
          </w:p>
          <w:p w14:paraId="3ADC0D76">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（2）若出现中标候选人并列情形，则按照下列方式确定中标人：</w:t>
            </w:r>
          </w:p>
          <w:p w14:paraId="0952D26E">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①招标文件规定的方式：</w:t>
            </w:r>
          </w:p>
          <w:p w14:paraId="66590720">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确定技术项总得分较高的中标候选人为中标人。若技术项总得分相同的，则采取随机抽取的方式确定。</w:t>
            </w:r>
          </w:p>
          <w:p w14:paraId="48580952">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②若本款第①点规定方式为“无”，则按照下列方式确定：</w:t>
            </w:r>
          </w:p>
          <w:p w14:paraId="321B863F">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7D57549D">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③若本款第①、②点规定方式均为“无”，则按照下列方式确定：随机抽取。</w:t>
            </w:r>
          </w:p>
          <w:p w14:paraId="1CE6A93E">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（3）本项目确定的中标人家数：</w:t>
            </w:r>
          </w:p>
          <w:p w14:paraId="3B80BA4F">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采购包1：1名</w:t>
            </w:r>
          </w:p>
        </w:tc>
      </w:tr>
      <w:tr w14:paraId="18E5E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C35C63B">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w:t>
            </w:r>
          </w:p>
        </w:tc>
        <w:tc>
          <w:tcPr>
            <w:tcW w:w="1418" w:type="dxa"/>
            <w:vAlign w:val="center"/>
          </w:tcPr>
          <w:p w14:paraId="0F6C573A">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13.2</w:t>
            </w:r>
          </w:p>
        </w:tc>
        <w:tc>
          <w:tcPr>
            <w:tcW w:w="7189" w:type="dxa"/>
            <w:vAlign w:val="center"/>
          </w:tcPr>
          <w:p w14:paraId="159D0A28">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合同签订时限：自中标通知书发出之日起20个日历日内。</w:t>
            </w:r>
          </w:p>
        </w:tc>
      </w:tr>
      <w:tr w14:paraId="66A5D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8697C5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w:t>
            </w:r>
          </w:p>
        </w:tc>
        <w:tc>
          <w:tcPr>
            <w:tcW w:w="1418" w:type="dxa"/>
            <w:vAlign w:val="center"/>
          </w:tcPr>
          <w:p w14:paraId="4ADEF94A">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15.1-（2）</w:t>
            </w:r>
          </w:p>
        </w:tc>
        <w:tc>
          <w:tcPr>
            <w:tcW w:w="7189" w:type="dxa"/>
            <w:vAlign w:val="center"/>
          </w:tcPr>
          <w:p w14:paraId="4C9A9C94">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质疑函原件应采用下列方式提交：书面形式。</w:t>
            </w:r>
          </w:p>
        </w:tc>
      </w:tr>
      <w:tr w14:paraId="6EE72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81E8EAF">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w:t>
            </w:r>
          </w:p>
        </w:tc>
        <w:tc>
          <w:tcPr>
            <w:tcW w:w="1418" w:type="dxa"/>
            <w:vAlign w:val="center"/>
          </w:tcPr>
          <w:p w14:paraId="22A5E02C">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15.4</w:t>
            </w:r>
          </w:p>
        </w:tc>
        <w:tc>
          <w:tcPr>
            <w:tcW w:w="7189" w:type="dxa"/>
            <w:vAlign w:val="center"/>
          </w:tcPr>
          <w:p w14:paraId="6052560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招标文件的质疑</w:t>
            </w:r>
          </w:p>
          <w:p w14:paraId="5517E043">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（1）潜在投标人可在质疑时效期间内对招标文件以书面形式提出质疑。</w:t>
            </w:r>
          </w:p>
          <w:p w14:paraId="3C5A0519">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（2）质疑时效期间：应在依法获取招标文件之日起7个工作日内向</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提出，依法获取招标文件的时间以福建省政府采购网上公开信息系统记载的为准。</w:t>
            </w:r>
          </w:p>
          <w:p w14:paraId="7A4E6E14">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※除上述规定外，对招标文件提出的质疑还应符合招标文件第三章第15.1条的有关规定。</w:t>
            </w:r>
          </w:p>
        </w:tc>
      </w:tr>
      <w:tr w14:paraId="515C1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FA69A39">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w:t>
            </w:r>
          </w:p>
        </w:tc>
        <w:tc>
          <w:tcPr>
            <w:tcW w:w="1418" w:type="dxa"/>
            <w:vAlign w:val="center"/>
          </w:tcPr>
          <w:p w14:paraId="16F72BEE">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16.1</w:t>
            </w:r>
          </w:p>
        </w:tc>
        <w:tc>
          <w:tcPr>
            <w:tcW w:w="7189" w:type="dxa"/>
            <w:vAlign w:val="center"/>
          </w:tcPr>
          <w:p w14:paraId="00DC93D1">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监督管理部门：厦门市</w:t>
            </w:r>
            <w:r>
              <w:rPr>
                <w:rFonts w:hint="eastAsia" w:asciiTheme="minorEastAsia" w:hAnsiTheme="minorEastAsia"/>
                <w:color w:val="auto"/>
                <w:sz w:val="24"/>
                <w:szCs w:val="24"/>
                <w:highlight w:val="none"/>
                <w:lang w:val="en-US" w:eastAsia="zh-CN"/>
              </w:rPr>
              <w:t>同安区</w:t>
            </w:r>
            <w:r>
              <w:rPr>
                <w:rFonts w:asciiTheme="minorEastAsia" w:hAnsiTheme="minorEastAsia"/>
                <w:color w:val="auto"/>
                <w:sz w:val="24"/>
                <w:szCs w:val="24"/>
                <w:highlight w:val="none"/>
              </w:rPr>
              <w:t>财政局（仅限依法进行政府采购的货物或服务类项目）。</w:t>
            </w:r>
          </w:p>
        </w:tc>
      </w:tr>
      <w:tr w14:paraId="005E9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6C4B95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w:t>
            </w:r>
          </w:p>
        </w:tc>
        <w:tc>
          <w:tcPr>
            <w:tcW w:w="1418" w:type="dxa"/>
            <w:vAlign w:val="center"/>
          </w:tcPr>
          <w:p w14:paraId="331AAB13">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18.1</w:t>
            </w:r>
          </w:p>
        </w:tc>
        <w:tc>
          <w:tcPr>
            <w:tcW w:w="7189" w:type="dxa"/>
            <w:vAlign w:val="center"/>
          </w:tcPr>
          <w:p w14:paraId="26F9538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财政部和福建省财政厅指定的政府采购信息发布媒体（以下简称：“指定媒体”）：</w:t>
            </w:r>
          </w:p>
          <w:p w14:paraId="066853B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（1）中国政府采购网，网址www.ccgp.gov.cn。</w:t>
            </w:r>
          </w:p>
          <w:p w14:paraId="59285C6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（2）中国政府采购网福建分网（福建省政府采购网），网址zfcg.czt.fujian.gov.cn。</w:t>
            </w:r>
          </w:p>
          <w:p w14:paraId="466AC288">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※若出现上述指定媒体信息不一致情形，应以中国政府采购网福建分网（福建省政府采购网）发布的为准。</w:t>
            </w:r>
          </w:p>
        </w:tc>
      </w:tr>
      <w:tr w14:paraId="2F036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FF22FCC">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w:t>
            </w:r>
          </w:p>
        </w:tc>
        <w:tc>
          <w:tcPr>
            <w:tcW w:w="1418" w:type="dxa"/>
            <w:vAlign w:val="center"/>
          </w:tcPr>
          <w:p w14:paraId="36075539">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w:t>
            </w:r>
          </w:p>
        </w:tc>
        <w:tc>
          <w:tcPr>
            <w:tcW w:w="7189" w:type="dxa"/>
            <w:vAlign w:val="center"/>
          </w:tcPr>
          <w:p w14:paraId="1A9C0D5E">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其他事项：</w:t>
            </w:r>
          </w:p>
          <w:p w14:paraId="665AFB9E">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（1）本项目代理服务费：</w:t>
            </w:r>
          </w:p>
          <w:p w14:paraId="7BDE51F6">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本项目收取代理服务费</w:t>
            </w:r>
          </w:p>
          <w:p w14:paraId="21C4E9A8">
            <w:pPr>
              <w:pStyle w:val="54"/>
              <w:widowControl w:val="0"/>
              <w:spacing w:line="360" w:lineRule="auto"/>
              <w:jc w:val="both"/>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代理服务费用收取对象：中标/</w:t>
            </w:r>
            <w:r>
              <w:rPr>
                <w:rFonts w:hint="eastAsia" w:asciiTheme="minorEastAsia" w:hAnsiTheme="minorEastAsia"/>
                <w:color w:val="auto"/>
                <w:sz w:val="24"/>
                <w:szCs w:val="24"/>
                <w:highlight w:val="none"/>
                <w:lang w:eastAsia="zh-CN"/>
              </w:rPr>
              <w:t>中标人</w:t>
            </w:r>
          </w:p>
          <w:p w14:paraId="1A97A982">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代理服务费收费标准：（1）以单个采购包的中标总金额为准，按差额定率累进法计取，具体按以下标准计取：（0，100万元]，1.50%；（100万元，500万元]，1.10%；（500万元，1000万元]，0.80%；（1000万元，5000万元]；0.50%。（2）代理服务费由中标人在领取中标通知书的同时，以转账、电汇、现金存款等付款方式一次性缴清。（3）经评标委员会认定</w:t>
            </w:r>
            <w:r>
              <w:rPr>
                <w:rFonts w:hint="eastAsia" w:asciiTheme="minorEastAsia" w:hAnsiTheme="minorEastAsia"/>
                <w:color w:val="auto"/>
                <w:sz w:val="24"/>
                <w:szCs w:val="24"/>
                <w:highlight w:val="none"/>
                <w:lang w:eastAsia="zh-CN"/>
              </w:rPr>
              <w:t>中标人</w:t>
            </w:r>
            <w:r>
              <w:rPr>
                <w:rFonts w:asciiTheme="minorEastAsia" w:hAnsiTheme="minorEastAsia"/>
                <w:color w:val="auto"/>
                <w:sz w:val="24"/>
                <w:szCs w:val="24"/>
                <w:highlight w:val="none"/>
              </w:rPr>
              <w:t>为中小企业的，中标后可享受代理服务费下浮10%的优惠。（4）因</w:t>
            </w:r>
            <w:r>
              <w:rPr>
                <w:rFonts w:hint="eastAsia" w:asciiTheme="minorEastAsia" w:hAnsiTheme="minorEastAsia"/>
                <w:color w:val="auto"/>
                <w:sz w:val="24"/>
                <w:szCs w:val="24"/>
                <w:highlight w:val="none"/>
                <w:lang w:val="en-US" w:eastAsia="zh-CN"/>
              </w:rPr>
              <w:t>中标人</w:t>
            </w:r>
            <w:r>
              <w:rPr>
                <w:rFonts w:asciiTheme="minorEastAsia" w:hAnsiTheme="minorEastAsia"/>
                <w:color w:val="auto"/>
                <w:sz w:val="24"/>
                <w:szCs w:val="24"/>
                <w:highlight w:val="none"/>
              </w:rPr>
              <w:t>自身原因导致最终无法承接项目的，代理服务费不予退还。</w:t>
            </w:r>
          </w:p>
          <w:p w14:paraId="64A5B04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（2）其他：</w:t>
            </w:r>
          </w:p>
          <w:p w14:paraId="0B1FA75D">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本项目招标文件第五章增加补充条款，补充条款内容与招标文件其他地方内容不一致的，以补充条款内容为准。请投标人仔细阅读。</w:t>
            </w:r>
          </w:p>
        </w:tc>
      </w:tr>
      <w:tr w14:paraId="686F2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89" w:type="dxa"/>
            <w:gridSpan w:val="2"/>
            <w:vAlign w:val="center"/>
          </w:tcPr>
          <w:p w14:paraId="44914038">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c>
          <w:tcPr>
            <w:tcW w:w="7189" w:type="dxa"/>
            <w:vAlign w:val="center"/>
          </w:tcPr>
          <w:p w14:paraId="39304645">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后有投标人须知前附表2，请勿遗漏。</w:t>
            </w:r>
          </w:p>
        </w:tc>
      </w:tr>
    </w:tbl>
    <w:p w14:paraId="217EE6A6">
      <w:pPr>
        <w:pStyle w:val="3"/>
        <w:spacing w:beforeLines="100" w:afterLines="100" w:line="240" w:lineRule="auto"/>
        <w:jc w:val="center"/>
        <w:rPr>
          <w:rFonts w:ascii="黑体" w:hAnsi="黑体" w:eastAsia="黑体" w:cs="Times New Roman"/>
          <w:color w:val="auto"/>
          <w:kern w:val="0"/>
          <w:sz w:val="30"/>
          <w:highlight w:val="none"/>
        </w:rPr>
      </w:pPr>
      <w:bookmarkStart w:id="3" w:name="_Toc139103807"/>
      <w:r>
        <w:rPr>
          <w:rFonts w:ascii="黑体" w:hAnsi="黑体" w:eastAsia="黑体" w:cs="Times New Roman"/>
          <w:color w:val="auto"/>
          <w:kern w:val="0"/>
          <w:sz w:val="30"/>
          <w:highlight w:val="none"/>
        </w:rPr>
        <w:t>二、投标人须知前附表2</w:t>
      </w:r>
      <w:bookmarkEnd w:id="3"/>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454"/>
      </w:tblGrid>
      <w:tr w14:paraId="27C6D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57" w:type="dxa"/>
            <w:gridSpan w:val="2"/>
            <w:vAlign w:val="center"/>
          </w:tcPr>
          <w:p w14:paraId="43228565">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关于电子招标投标活动的专门规定</w:t>
            </w:r>
          </w:p>
        </w:tc>
      </w:tr>
      <w:tr w14:paraId="5040E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46EE4CAB">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8454" w:type="dxa"/>
            <w:vAlign w:val="center"/>
          </w:tcPr>
          <w:p w14:paraId="338436BD">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编列内容</w:t>
            </w:r>
          </w:p>
        </w:tc>
      </w:tr>
      <w:tr w14:paraId="33E73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6115216B">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8454" w:type="dxa"/>
            <w:vAlign w:val="center"/>
          </w:tcPr>
          <w:p w14:paraId="7892B729">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（1）电子招标投标活动的专门规定适用本项目电子招标投标活动。</w:t>
            </w:r>
          </w:p>
          <w:p w14:paraId="49E36AEB">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（2）将招标文件</w:t>
            </w:r>
          </w:p>
          <w:p w14:paraId="75749C11">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无的内容修正为下列内容：</w:t>
            </w:r>
          </w:p>
          <w:p w14:paraId="7B21C8CD">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无后适用本项目的电子招标投标活动。</w:t>
            </w:r>
          </w:p>
          <w:p w14:paraId="42137CA5">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1E652E1F">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①电子招标投标活动的具体操作流程以福建省政府采购网上公开信息系统设定的为准。</w:t>
            </w:r>
          </w:p>
          <w:p w14:paraId="67F7AFE0">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②关于电子投标文件：</w:t>
            </w:r>
          </w:p>
          <w:p w14:paraId="3D29081A">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47ADD24D">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421D61A">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③关于证明材料或资料：</w:t>
            </w:r>
          </w:p>
          <w:p w14:paraId="5432F279">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C60D1A4">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21AE8147">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④关于“全称”、“投标人代表签字”及“加盖单位公章”：</w:t>
            </w:r>
          </w:p>
          <w:p w14:paraId="7366CD90">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a.在电子投标文件中，涉及“全称”和“投标人代表签字”的内容可使用打字录入方式完成。</w:t>
            </w:r>
          </w:p>
          <w:p w14:paraId="54B7C1D1">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b.在电子投标文件中，涉及“加盖单位公章”的内容应使用投标人的CA证书完成，否则投标无效。</w:t>
            </w:r>
          </w:p>
          <w:p w14:paraId="62DB60F7">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c.在电子投标文件中，若投标人按照本增列内容第④点第b项规定加盖其单位公章，则出现无全称、或投标人代表未签字等情形，不视为投标无效。</w:t>
            </w:r>
          </w:p>
          <w:p w14:paraId="7B36253C">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⑤关于投标人的CA证书：</w:t>
            </w:r>
          </w:p>
          <w:p w14:paraId="349AB9BF">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a.投标人的CA证书应在系统规定时间内使用CA证书进行电子投标文件的解密操作，逾期未解密的视为放弃投标。</w:t>
            </w:r>
          </w:p>
          <w:p w14:paraId="0960166C">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b.投标人的CA证书可采用信封（包括但不限于：信封、档案袋、文件袋等）作为外包装进行单独包装。外包装密封、不密封皆可。</w:t>
            </w:r>
          </w:p>
          <w:p w14:paraId="0ED44CD3">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c.投标人的CA证书或外包装应标记“项目名称、项目编号、投标人的全称”等内容，以方便识别、使用。</w:t>
            </w:r>
          </w:p>
          <w:p w14:paraId="2E46B264">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d.投标人的CA证书应能正常、有效使用，否则产生不利后果由投标人承担责任。</w:t>
            </w:r>
          </w:p>
          <w:p w14:paraId="756EEA1A">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⑥关于投标截止时间过后</w:t>
            </w:r>
          </w:p>
          <w:p w14:paraId="6F7745A7">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a.未按招标文件规定提交投标保证金的，其投标将按无效投标处理。</w:t>
            </w:r>
          </w:p>
          <w:p w14:paraId="15854208">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b.有下列情形之一的，其投标无效，其保证金不予退还或通过投标保函进行索赔：</w:t>
            </w:r>
          </w:p>
          <w:p w14:paraId="44A98222">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b1不同投标人的电子投标文件具有相同内部识别码；</w:t>
            </w:r>
          </w:p>
          <w:p w14:paraId="5DFB9BC7">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b2不同投标人的投标保证金从同一单位或个人的账户转出；</w:t>
            </w:r>
          </w:p>
          <w:p w14:paraId="4FE91B8B">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b3投标人的投标保证金同一采购包下有其他投标人提交的投标保证金；</w:t>
            </w:r>
          </w:p>
          <w:p w14:paraId="19342F7B">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b4不同投标人存在串通投标的其他情形。</w:t>
            </w:r>
          </w:p>
          <w:p w14:paraId="7F88E78A">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4AA8A643">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⑧其他：根据《福建省财政厅关于废止部分行政规范性文件的通知》（闽财规〔2023〕29号）规定，取消投标文件资格及资信证明部分、技术商务部分中不得出现报价内容的要求。</w:t>
            </w:r>
          </w:p>
        </w:tc>
      </w:tr>
    </w:tbl>
    <w:p w14:paraId="33B7FFBC">
      <w:pPr>
        <w:rPr>
          <w:color w:val="auto"/>
          <w:highlight w:val="none"/>
        </w:rPr>
      </w:pPr>
    </w:p>
    <w:p w14:paraId="6580CA02">
      <w:pPr>
        <w:rPr>
          <w:color w:val="auto"/>
          <w:highlight w:val="none"/>
        </w:rPr>
        <w:sectPr>
          <w:pgSz w:w="11906" w:h="16838"/>
          <w:pgMar w:top="1418" w:right="1418" w:bottom="1418" w:left="1418" w:header="851" w:footer="992" w:gutter="0"/>
          <w:cols w:space="425" w:num="1"/>
          <w:docGrid w:type="lines" w:linePitch="312" w:charSpace="0"/>
        </w:sectPr>
      </w:pPr>
    </w:p>
    <w:p w14:paraId="082FA5D3">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4" w:name="_Toc139103808"/>
      <w:r>
        <w:rPr>
          <w:rFonts w:ascii="黑体" w:hAnsi="黑体" w:eastAsia="黑体" w:cs="Times New Roman"/>
          <w:color w:val="auto"/>
          <w:kern w:val="0"/>
          <w:sz w:val="32"/>
          <w:szCs w:val="44"/>
          <w:highlight w:val="none"/>
        </w:rPr>
        <w:t>第三章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投标人须知</w:t>
      </w:r>
      <w:bookmarkEnd w:id="4"/>
    </w:p>
    <w:p w14:paraId="668B7D27">
      <w:pPr>
        <w:pStyle w:val="3"/>
        <w:spacing w:beforeLines="100" w:afterLines="100" w:line="240" w:lineRule="auto"/>
        <w:jc w:val="center"/>
        <w:rPr>
          <w:rFonts w:ascii="黑体" w:hAnsi="黑体" w:eastAsia="黑体" w:cs="Times New Roman"/>
          <w:color w:val="auto"/>
          <w:kern w:val="0"/>
          <w:sz w:val="30"/>
          <w:highlight w:val="none"/>
        </w:rPr>
      </w:pPr>
      <w:bookmarkStart w:id="5" w:name="_Toc139103809"/>
      <w:r>
        <w:rPr>
          <w:rFonts w:ascii="黑体" w:hAnsi="黑体" w:eastAsia="黑体" w:cs="Times New Roman"/>
          <w:color w:val="auto"/>
          <w:kern w:val="0"/>
          <w:sz w:val="30"/>
          <w:highlight w:val="none"/>
        </w:rPr>
        <w:t>一、总则</w:t>
      </w:r>
      <w:bookmarkEnd w:id="5"/>
    </w:p>
    <w:p w14:paraId="7C614F8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1、适用范围</w:t>
      </w:r>
    </w:p>
    <w:p w14:paraId="3B2572A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1.1适用于招标文件载明项目的政府采购活动（以下简称：“本次采购活动”）。</w:t>
      </w:r>
    </w:p>
    <w:p w14:paraId="7E42179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2、定义</w:t>
      </w:r>
    </w:p>
    <w:p w14:paraId="4B14ABF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2.1“采购标的”指招标文件载明的需要采购的货物或服务。</w:t>
      </w:r>
    </w:p>
    <w:p w14:paraId="3EC127D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2.2“潜在投标人”指按照招标文件第一章第7条规定获取招标文件且有意向参加本项目投标的供应商。</w:t>
      </w:r>
    </w:p>
    <w:p w14:paraId="066C386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2.3“投标人”指按照招标文件第一章第7条规定获取招标文件并参加本项目投标的供应商。</w:t>
      </w:r>
    </w:p>
    <w:p w14:paraId="48C8DCB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2.4“单位负责人”指单位法定代表人或法律、法规规定代表单位行使职权的主要负责人。</w:t>
      </w:r>
    </w:p>
    <w:p w14:paraId="4C0A7A7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2.5“投标人代表”指投标人的单位负责人或“单位负责人授权书”中载明的接受授权方。</w:t>
      </w:r>
    </w:p>
    <w:p w14:paraId="715B22F7">
      <w:pPr>
        <w:pStyle w:val="3"/>
        <w:spacing w:beforeLines="100" w:afterLines="100" w:line="240" w:lineRule="auto"/>
        <w:jc w:val="center"/>
        <w:rPr>
          <w:rFonts w:ascii="黑体" w:hAnsi="黑体" w:eastAsia="黑体" w:cs="Times New Roman"/>
          <w:color w:val="auto"/>
          <w:kern w:val="0"/>
          <w:sz w:val="30"/>
          <w:highlight w:val="none"/>
        </w:rPr>
      </w:pPr>
      <w:bookmarkStart w:id="6" w:name="_Toc139103810"/>
      <w:r>
        <w:rPr>
          <w:rFonts w:ascii="黑体" w:hAnsi="黑体" w:eastAsia="黑体" w:cs="Times New Roman"/>
          <w:color w:val="auto"/>
          <w:kern w:val="0"/>
          <w:sz w:val="30"/>
          <w:highlight w:val="none"/>
        </w:rPr>
        <w:t>二、投标人</w:t>
      </w:r>
      <w:bookmarkEnd w:id="6"/>
    </w:p>
    <w:p w14:paraId="62B0AB7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3、合格投标人</w:t>
      </w:r>
    </w:p>
    <w:p w14:paraId="4EDBE78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3.1一般规定</w:t>
      </w:r>
    </w:p>
    <w:p w14:paraId="52209CC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7EF8C0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977437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（2）投标人的资格要求：详见招标文件第一章。</w:t>
      </w:r>
    </w:p>
    <w:p w14:paraId="3B60C71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3.2若本项目接受联合体投标且投标人为联合体，则联合体各方应遵守本章第3.1条规定，同时还应遵守下列规定：</w:t>
      </w:r>
    </w:p>
    <w:p w14:paraId="528AA60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（1）联合体各方应提交联合体协议，联合体协议应符合招标文件规定。</w:t>
      </w:r>
    </w:p>
    <w:p w14:paraId="2EE189C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（2）联合体各方不得再单独参加或与其他供应商另外组成联合体参加同一合同项下的投标。</w:t>
      </w:r>
    </w:p>
    <w:p w14:paraId="543ECEC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（3）联合体各方应共同与采购人签订政府采购合同，就政府采购合同约定的事项对采购人承担连带责任。</w:t>
      </w:r>
    </w:p>
    <w:p w14:paraId="4B3AAB3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A4346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（5）联合体一方放弃中标的，视为联合体整体放弃中标，联合体各方承担连带责任。</w:t>
      </w:r>
    </w:p>
    <w:p w14:paraId="53A73AB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（6）如本项目不接受联合体投标而投标人为联合体的，或者本项目接受联合体投标但投标人组成的联合体不符合本章第3.2条规定的，投标无效。</w:t>
      </w:r>
    </w:p>
    <w:p w14:paraId="38179A3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4、投标费用</w:t>
      </w:r>
    </w:p>
    <w:p w14:paraId="75CDD61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4.1除招标文件另有规定外，投标人应自行承担其参加本项目投标所涉及的一切费用。</w:t>
      </w:r>
    </w:p>
    <w:p w14:paraId="681A448E">
      <w:pPr>
        <w:pStyle w:val="3"/>
        <w:spacing w:beforeLines="100" w:afterLines="100" w:line="240" w:lineRule="auto"/>
        <w:jc w:val="center"/>
        <w:rPr>
          <w:rFonts w:ascii="黑体" w:hAnsi="黑体" w:eastAsia="黑体" w:cs="Times New Roman"/>
          <w:color w:val="auto"/>
          <w:kern w:val="0"/>
          <w:sz w:val="30"/>
          <w:highlight w:val="none"/>
        </w:rPr>
      </w:pPr>
      <w:bookmarkStart w:id="7" w:name="_Toc139103811"/>
      <w:r>
        <w:rPr>
          <w:rFonts w:ascii="黑体" w:hAnsi="黑体" w:eastAsia="黑体" w:cs="Times New Roman"/>
          <w:color w:val="auto"/>
          <w:kern w:val="0"/>
          <w:sz w:val="30"/>
          <w:highlight w:val="none"/>
        </w:rPr>
        <w:t>三、招标</w:t>
      </w:r>
      <w:bookmarkEnd w:id="7"/>
    </w:p>
    <w:p w14:paraId="451B101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5、招标文件</w:t>
      </w:r>
    </w:p>
    <w:p w14:paraId="5530C5C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5.1招标文件由下述部分组成：</w:t>
      </w:r>
    </w:p>
    <w:p w14:paraId="27F3EDA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（1）投标邀请</w:t>
      </w:r>
    </w:p>
    <w:p w14:paraId="14D41B7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（2）投标人须知前附表（表1、2）</w:t>
      </w:r>
    </w:p>
    <w:p w14:paraId="7788075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（3）投标人须知</w:t>
      </w:r>
    </w:p>
    <w:p w14:paraId="0313598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（4）资格审查与评标</w:t>
      </w:r>
    </w:p>
    <w:p w14:paraId="69FC55A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（5）招标内容及要求</w:t>
      </w:r>
    </w:p>
    <w:p w14:paraId="52C9158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（6）政府采购合同（参考文本）</w:t>
      </w:r>
    </w:p>
    <w:p w14:paraId="7BEB5D5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（7）电子投标文件格式</w:t>
      </w:r>
    </w:p>
    <w:p w14:paraId="14F4A4F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（8）按照招标文件规定作为招标文件组成部分的其他内容（若有）</w:t>
      </w:r>
    </w:p>
    <w:p w14:paraId="03A125E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5.2招标文件的澄清或修改</w:t>
      </w:r>
    </w:p>
    <w:p w14:paraId="7A53326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可对已发出的招标文件进行必要的澄清或修改，但不得对招标文件载明的采购标的和投标人的资格要求进行改变。</w:t>
      </w:r>
    </w:p>
    <w:p w14:paraId="0D90CBA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（2）除本章第5.2条第（3）款规定情形外，澄清或修改的内容可能影响电子投标文件编制的，</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将在投标截止时间至少15个日历日前，在招标文件载明的指定媒体以更正公告的形式发布澄清或修改的内容。不足15个日历日的，</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将顺延投标截止时间及开标时间，</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和投标人受原投标截止时间及开标时间制约的所有权利和义务均延长至新的投标截止时间及开标时间。</w:t>
      </w:r>
    </w:p>
    <w:p w14:paraId="2E8D8FA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（3）澄清或修改的内容可能改变招标文件载明的采购标的和投标人的资格要求的，本次采购活动结束，</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将依法组织后续采购活动（包括但不限于：重新招标、采用其他方式采购等）。</w:t>
      </w:r>
    </w:p>
    <w:p w14:paraId="044D6D3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6、现场考察或开标前答疑会</w:t>
      </w:r>
    </w:p>
    <w:p w14:paraId="25CBE8A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6.1是否组织现场考察或召开开标前答疑会：详见招标文件第二章。</w:t>
      </w:r>
    </w:p>
    <w:p w14:paraId="5D6EB01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7、更正公告</w:t>
      </w:r>
    </w:p>
    <w:p w14:paraId="0F79B29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7.1若</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发布更正公告，则更正公告及其所发布的内容或信息（包括但不限于：招标文件的澄清或修改、现场考察或答疑会的有关事宜等）作为招标文件组成部分，对投标人具有约束力。</w:t>
      </w:r>
    </w:p>
    <w:p w14:paraId="7A0E07F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7.2更正公告作为</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通知所有潜在投标人的书面形式。</w:t>
      </w:r>
    </w:p>
    <w:p w14:paraId="2C40D9A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8、终止公告</w:t>
      </w:r>
    </w:p>
    <w:p w14:paraId="5486492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8.1若出现因重大变故导致采购任务取消情形，</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可终止招标并发布终止公告。</w:t>
      </w:r>
    </w:p>
    <w:p w14:paraId="68E662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8.2终止公告作为</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通知所有潜在投标人的书面形式。</w:t>
      </w:r>
    </w:p>
    <w:p w14:paraId="477B634B">
      <w:pPr>
        <w:pStyle w:val="3"/>
        <w:spacing w:beforeLines="100" w:afterLines="100" w:line="240" w:lineRule="auto"/>
        <w:jc w:val="center"/>
        <w:rPr>
          <w:rFonts w:ascii="黑体" w:hAnsi="黑体" w:eastAsia="黑体" w:cs="Times New Roman"/>
          <w:color w:val="auto"/>
          <w:kern w:val="0"/>
          <w:sz w:val="30"/>
          <w:highlight w:val="none"/>
        </w:rPr>
      </w:pPr>
      <w:bookmarkStart w:id="8" w:name="_Toc139103812"/>
      <w:r>
        <w:rPr>
          <w:rFonts w:ascii="黑体" w:hAnsi="黑体" w:eastAsia="黑体" w:cs="Times New Roman"/>
          <w:color w:val="auto"/>
          <w:kern w:val="0"/>
          <w:sz w:val="30"/>
          <w:highlight w:val="none"/>
        </w:rPr>
        <w:t>四、投标</w:t>
      </w:r>
      <w:bookmarkEnd w:id="8"/>
    </w:p>
    <w:p w14:paraId="54922B5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9、投标</w:t>
      </w:r>
    </w:p>
    <w:p w14:paraId="5B5F6D0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9.1投标人可对招标文件载明的全部或部分采购包进行投标。</w:t>
      </w:r>
    </w:p>
    <w:p w14:paraId="5E6EFDE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9.2投标人应对同一个采购包内的所有内容进行完整投标，否则投标无效。</w:t>
      </w:r>
    </w:p>
    <w:p w14:paraId="27C63A2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9.3投标人代表只能接受一个投标人的授权参加投标，否则投标无效。</w:t>
      </w:r>
    </w:p>
    <w:p w14:paraId="56FA642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9.4单位负责人为同一人或存在直接控股、管理关系的不同供应商，不得同时参加同一合同项下的投标，否则投标无效。</w:t>
      </w:r>
    </w:p>
    <w:p w14:paraId="5F27F5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1F53528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9.6列入失信被执行人、重大税收违法失信主体名单、政府采购严重违法失信行为记录名单及其他不符合政府采购法第二十二条规定条件的供应商，不得参加投标，否则投标无效。</w:t>
      </w:r>
    </w:p>
    <w:p w14:paraId="35BAD3E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9.7有下列情形之一的，视为投标人串通投标，其投标无效：</w:t>
      </w:r>
    </w:p>
    <w:p w14:paraId="4AAD4A9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（1）不同投标人的电子投标文件由同一单位或个人编制；</w:t>
      </w:r>
    </w:p>
    <w:p w14:paraId="7B67CDD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（2）不同投标人委托同一单位或个人办理投标事宜；</w:t>
      </w:r>
    </w:p>
    <w:p w14:paraId="0BD9148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（3）不同投标人的电子投标文件载明的项目管理成员或联系人员为同一人；</w:t>
      </w:r>
    </w:p>
    <w:p w14:paraId="374E93A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（4）不同投标人的电子投标文件异常一致或投标报价呈规律性差异；</w:t>
      </w:r>
    </w:p>
    <w:p w14:paraId="6AC727D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（5）不同投标人的电子投标文件相互混装；</w:t>
      </w:r>
    </w:p>
    <w:p w14:paraId="20EE7DD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（6）不同投标人的投标保证金从同一单位或个人的账户转出；</w:t>
      </w:r>
    </w:p>
    <w:p w14:paraId="0CBA1E1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（7）有关法律、法规和规章及招标文件规定的其他串通投标情形。</w:t>
      </w:r>
    </w:p>
    <w:p w14:paraId="4B69897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10、电子投标文件</w:t>
      </w:r>
    </w:p>
    <w:p w14:paraId="03EB158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10.1电子投标文件的编制</w:t>
      </w:r>
    </w:p>
    <w:p w14:paraId="3CE2E99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（1）投标人应先仔细阅读招标文件的全部内容后，再进行电子投标文件的编制。</w:t>
      </w:r>
    </w:p>
    <w:p w14:paraId="506422F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（2）电子投标文件应按照本章第10.2条规定编制其组成部分。</w:t>
      </w:r>
    </w:p>
    <w:p w14:paraId="52A4964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7D7EB16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10.2电子投标文件由下述部分组成：</w:t>
      </w:r>
    </w:p>
    <w:p w14:paraId="54885DB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（1）资格及资信证明部分</w:t>
      </w:r>
    </w:p>
    <w:p w14:paraId="59DD28B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①投标函</w:t>
      </w:r>
    </w:p>
    <w:p w14:paraId="4B8D039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②投标人的资格及资信证明文件</w:t>
      </w:r>
    </w:p>
    <w:p w14:paraId="1C6A085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③投标保证金</w:t>
      </w:r>
    </w:p>
    <w:p w14:paraId="23F6E91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（2）报价部分</w:t>
      </w:r>
    </w:p>
    <w:p w14:paraId="7A74B0C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①开标（报价）一览表</w:t>
      </w:r>
    </w:p>
    <w:p w14:paraId="00F2560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②投标（响应）报价明细表</w:t>
      </w:r>
    </w:p>
    <w:p w14:paraId="407DD08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③招标文件规定的价格扣除证明材料（若有）</w:t>
      </w:r>
    </w:p>
    <w:p w14:paraId="7991CE1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④招标文件规定的加分证明材料（若有）</w:t>
      </w:r>
    </w:p>
    <w:p w14:paraId="2A1A06E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（3）技术商务部分</w:t>
      </w:r>
    </w:p>
    <w:p w14:paraId="0CD4A06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①标的说明一览表</w:t>
      </w:r>
    </w:p>
    <w:p w14:paraId="2971CD2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②技术和服务要求响应表</w:t>
      </w:r>
    </w:p>
    <w:p w14:paraId="0F2A89A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③商务条件响应表</w:t>
      </w:r>
    </w:p>
    <w:p w14:paraId="3F83F12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④投标人提交的其他资料（若有）</w:t>
      </w:r>
    </w:p>
    <w:p w14:paraId="3AAF91C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⑤招标文件规定作为电子投标文件组成部分的其他内容（若有）</w:t>
      </w:r>
    </w:p>
    <w:p w14:paraId="134B6B4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10.3电子投标文件的语言</w:t>
      </w:r>
    </w:p>
    <w:p w14:paraId="335806F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（1）除招标文件另有规定外，电子投标文件应使用中文文本，若有不同文本，以中文文本为准。</w:t>
      </w:r>
    </w:p>
    <w:p w14:paraId="7316F6A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D84001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10.4投标文件的份数：详见招标文件第二章。</w:t>
      </w:r>
    </w:p>
    <w:p w14:paraId="273245B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10.5电子投标文件的格式</w:t>
      </w:r>
    </w:p>
    <w:p w14:paraId="1554188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（1）除招标文件另有规定外，电子投标文件应使用招标文件第七章规定的格式。</w:t>
      </w:r>
    </w:p>
    <w:p w14:paraId="1357F99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（2）除招标文件另有规定外，电子投标文件应使用不能擦去的墨料或墨水打印、书写或复印。</w:t>
      </w:r>
    </w:p>
    <w:p w14:paraId="579771E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（3）除招标文件另有规定外，电子投标文件应使用人民币作为计量货币。</w:t>
      </w:r>
    </w:p>
    <w:p w14:paraId="0239D26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（4）除招标文件另有规定外，签署、盖章应遵守下列规定：</w:t>
      </w:r>
    </w:p>
    <w:p w14:paraId="145EAFF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①电子投标文件应加盖投标人的单位公章。若投标人代表为单位授权的委托代理人，应提供“单位授权书”。</w:t>
      </w:r>
    </w:p>
    <w:p w14:paraId="756CDD3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②电子投标文件应没有涂改或行间插字，除非这些改动是根据</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的指示进行的，或是为改正投标人造成的应修改的错误而进行的。若有前述改动，应按照下列规定之一对改动处进行处理：</w:t>
      </w:r>
    </w:p>
    <w:p w14:paraId="3B0588D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a.投标人代表签字确认；</w:t>
      </w:r>
    </w:p>
    <w:p w14:paraId="2D5F5B5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b.加盖投标人的单位公章或校正章。</w:t>
      </w:r>
    </w:p>
    <w:p w14:paraId="7A04A1E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10.6投标报价</w:t>
      </w:r>
    </w:p>
    <w:p w14:paraId="1B403E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（1）投标报价超出最高限价将导致投标无效。</w:t>
      </w:r>
    </w:p>
    <w:p w14:paraId="6931274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（2）最高限价由采购人根据价格测算情况，在预算金额的额度内合理设定。最高限价不得超出预算金额。</w:t>
      </w:r>
    </w:p>
    <w:p w14:paraId="68A0D20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6A4B650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10.7分包</w:t>
      </w:r>
    </w:p>
    <w:p w14:paraId="0775339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（1）是否允许中标人将本项目的非主体、非关键性工作进行分包：详见招标文件第二章。</w:t>
      </w:r>
    </w:p>
    <w:p w14:paraId="7CD896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C4B75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（3）招标文件允许中标人将非主体、非关键性工作进行分包的项目，有下列情形之一的，中标人不得分包：</w:t>
      </w:r>
    </w:p>
    <w:p w14:paraId="3E657C6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①电子投标文件中未载明分包承担主体；</w:t>
      </w:r>
    </w:p>
    <w:p w14:paraId="0762775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②电子投标文件载明的分包承担主体不具备相应资质条件；</w:t>
      </w:r>
    </w:p>
    <w:p w14:paraId="4948D70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③电子投标文件载明的分包承担主体拟再次分包；</w:t>
      </w:r>
    </w:p>
    <w:p w14:paraId="1BC16D0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④享受中小企业扶持政策获得政府采购合同的，小微企业不得将合同分包给大中型企业，中型企业不得将合同分包给大型企业。</w:t>
      </w:r>
    </w:p>
    <w:p w14:paraId="58B1582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10.8投标有效期</w:t>
      </w:r>
    </w:p>
    <w:p w14:paraId="1F6D5B5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（1）招标文件载明的投标有效期：详见招标文件第二章。</w:t>
      </w:r>
    </w:p>
    <w:p w14:paraId="2667808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（2）电子投标文件承诺的投标有效期不得少于招标文件载明的投标有效期，否则投标无效。</w:t>
      </w:r>
    </w:p>
    <w:p w14:paraId="3BCF1B0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（3）根据本次采购活动的需要，</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可于投标有效期届满之前书面要求投标人延长投标有效期，投标人应在</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9938F7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10.9投标保证金</w:t>
      </w:r>
    </w:p>
    <w:p w14:paraId="6E83901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（1）投标保证金作为投标人按照招标文件规定履行相应投标责任、义务的约束及担保。</w:t>
      </w:r>
    </w:p>
    <w:p w14:paraId="060B06F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（2）投标人以电子保函形式提交投标保证金的，保函的有效期应等于或长于电子投标文件承诺的投标有效期，否则投标无效。</w:t>
      </w:r>
    </w:p>
    <w:p w14:paraId="1C87A3DD">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（3）提交</w:t>
      </w:r>
    </w:p>
    <w:p w14:paraId="104DBB0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7F969DA6">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BC2DB2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③其他形式：</w:t>
      </w:r>
    </w:p>
    <w:p w14:paraId="2603ECF3">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2EC7A43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④若本项目接受联合体投标且投标人为联合体，则联合体中的牵头方应按照本章第10.9条第（3）款第①、②、③点规定提交投标保证金。</w:t>
      </w:r>
    </w:p>
    <w:p w14:paraId="4D37F51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※除招标文件另有规定外，未按照上述规定提交投标保证金将导致资格审查不合格。</w:t>
      </w:r>
    </w:p>
    <w:p w14:paraId="45CF77F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（4）退还</w:t>
      </w:r>
    </w:p>
    <w:p w14:paraId="6A03006C">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①在投标截止时间前撤回已提交的电子投标文件的投标人，其投标保证金将在</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收到投标人书面撤回通知之日起5个工作日内退回原账户。</w:t>
      </w:r>
    </w:p>
    <w:p w14:paraId="593529C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②未中标人的投标保证金将在中标通知书发出之日起5个工作日内退回原账户。</w:t>
      </w:r>
    </w:p>
    <w:p w14:paraId="58FE0D1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③中标人的投标保证金将在政府采购合同签订之日起5个工作日内退回原账户；合同签订之日以福建省政府采购网上公开信息系统记载的为准。</w:t>
      </w:r>
    </w:p>
    <w:p w14:paraId="6F0A3F6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④终止招标的，</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将在终止公告发布之日起5个工作日内退回已收取的投标保证金及其在银行产生的孳息。</w:t>
      </w:r>
    </w:p>
    <w:p w14:paraId="47AE5CF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⑤除招标文件另有规定外，质疑或投诉涉及的投标人，若投标保证金尚未退还，则待质疑或投诉处理完毕后不计利息原额退还。</w:t>
      </w:r>
    </w:p>
    <w:p w14:paraId="1CD93479">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※本章第10.9条第（4）款第①、②、③点规定的投标保证金退还时限不包括因投标人自身原因导致无法及时退还而增加的时间。</w:t>
      </w:r>
    </w:p>
    <w:p w14:paraId="2D15B57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DEE244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（6）有下列情形之一的，投标保证金将不予退还或通过投标保函进行索赔：</w:t>
      </w:r>
    </w:p>
    <w:p w14:paraId="781DA6A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①投标人串通投标；</w:t>
      </w:r>
    </w:p>
    <w:p w14:paraId="2F38780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②投标人提供虚假材料；</w:t>
      </w:r>
    </w:p>
    <w:p w14:paraId="2210007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③投标人采取不正当手段诋毁、排挤其他投标人；</w:t>
      </w:r>
    </w:p>
    <w:p w14:paraId="4A74E7C4">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④投标截止时间后，投标人在投标有效期内撤销电子投标文件；</w:t>
      </w:r>
    </w:p>
    <w:p w14:paraId="21072FB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⑤招标文件规定的其他不予退还情形；</w:t>
      </w:r>
    </w:p>
    <w:p w14:paraId="0BA4B5A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⑥中标人有下列情形之一的：</w:t>
      </w:r>
    </w:p>
    <w:p w14:paraId="10D313D4">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a.除不可抗力外，因中标人自身原因未在中标通知书要求的期限内与采购人签订政府采购合同；</w:t>
      </w:r>
    </w:p>
    <w:p w14:paraId="6CFDAD2C">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b.未按照招标文件、投标文件的约定签订政府采购合同或提交履约保证金。</w:t>
      </w:r>
    </w:p>
    <w:p w14:paraId="629DFDB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※若上述投标保证金不予退还情形给采购人（采购代理机构）造成损失，则投标人还要承担相应的赔偿责任。</w:t>
      </w:r>
    </w:p>
    <w:p w14:paraId="7818DC3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10.10电子投标文件的提交</w:t>
      </w:r>
    </w:p>
    <w:p w14:paraId="506FB2C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（1）一个投标人只能提交一个电子投标文件，并按照招标文件第一章规定在系统上完成上传、解密操作。</w:t>
      </w:r>
    </w:p>
    <w:p w14:paraId="6C2429C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10.11电子投标文件的补充、修改或撤回</w:t>
      </w:r>
    </w:p>
    <w:p w14:paraId="3AB4ACF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（1）投标截止时间前，投标人可对所提交的电子投标文件进行补充、修改或撤回，并书面通知</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w:t>
      </w:r>
    </w:p>
    <w:p w14:paraId="46073B7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（2）补充、修改的内容应按照本章第10.5条第（4）款规定进行签署、盖章，并按照本章第10.10条规定提交，否则将被拒收。</w:t>
      </w:r>
    </w:p>
    <w:p w14:paraId="0BCA191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※按照上述规定提交的补充、修改内容作为电子投标文件组成部分。</w:t>
      </w:r>
    </w:p>
    <w:p w14:paraId="5157799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10.12除招标文件另有规定外，有下列情形之一的，投标无效：</w:t>
      </w:r>
    </w:p>
    <w:p w14:paraId="430604F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（1）电子投标文件未按照招标文件要求签署、盖章；</w:t>
      </w:r>
    </w:p>
    <w:p w14:paraId="5DE734B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（2）不符合招标文件中规定的资格要求；</w:t>
      </w:r>
    </w:p>
    <w:p w14:paraId="6FCBCC2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（3）投标报价超过招标文件中规定的预算金额或最高限价；</w:t>
      </w:r>
    </w:p>
    <w:p w14:paraId="7590139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（4）电子投标文件含有采购人不能接受的附加条件；</w:t>
      </w:r>
    </w:p>
    <w:p w14:paraId="0318355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（5）有关法律、法规和规章及招标文件规定的其他无效情形。</w:t>
      </w:r>
    </w:p>
    <w:p w14:paraId="015C2C8B">
      <w:pPr>
        <w:pStyle w:val="3"/>
        <w:spacing w:beforeLines="100" w:afterLines="100" w:line="240" w:lineRule="auto"/>
        <w:jc w:val="center"/>
        <w:rPr>
          <w:rFonts w:ascii="黑体" w:hAnsi="黑体" w:eastAsia="黑体" w:cs="Times New Roman"/>
          <w:color w:val="auto"/>
          <w:kern w:val="0"/>
          <w:sz w:val="30"/>
          <w:highlight w:val="none"/>
        </w:rPr>
      </w:pPr>
      <w:bookmarkStart w:id="9" w:name="_Toc139103813"/>
      <w:r>
        <w:rPr>
          <w:rFonts w:ascii="黑体" w:hAnsi="黑体" w:eastAsia="黑体" w:cs="Times New Roman"/>
          <w:color w:val="auto"/>
          <w:kern w:val="0"/>
          <w:sz w:val="30"/>
          <w:highlight w:val="none"/>
        </w:rPr>
        <w:t>五、开标</w:t>
      </w:r>
      <w:bookmarkEnd w:id="9"/>
    </w:p>
    <w:p w14:paraId="044E6F8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11、开标</w:t>
      </w:r>
    </w:p>
    <w:p w14:paraId="5C22034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11.1</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将在招标文件载明的开标时间及地点主持召开开标会，并邀请投标人参加。</w:t>
      </w:r>
    </w:p>
    <w:p w14:paraId="51D611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11.2开标会的主持人、唱标人、记录人及其他工作人员（若有）均由</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派出，现场监督人员（若有）可由有关方面派出。</w:t>
      </w:r>
    </w:p>
    <w:p w14:paraId="35A1F3B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314B83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11.4开标会应遵守下列规定：</w:t>
      </w:r>
    </w:p>
    <w:p w14:paraId="3245821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C680B4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6E070A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23B6592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642D0E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（5）若投标人未到开标现场参加开标会，也未通过远程参加开标会的，视同认可开标结果。</w:t>
      </w:r>
    </w:p>
    <w:p w14:paraId="324CC49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提出任何疑义或要求（包括质疑）。</w:t>
      </w:r>
    </w:p>
    <w:p w14:paraId="78DE53E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11.5投标截止时间后，参加投标的投标人不足三家的，不进行开标。同时，本次采购活动结束，</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将依法组织后续采购活动（包括但不限于：重新招标、采用其他方式采购等）。</w:t>
      </w:r>
    </w:p>
    <w:p w14:paraId="0B20BA5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11.6投标截止时间后撤销投标的处理</w:t>
      </w:r>
    </w:p>
    <w:p w14:paraId="158348D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投标截止时间后，投标人在投标有效期内撤销投标的，其撤销投标的行为无效。</w:t>
      </w:r>
    </w:p>
    <w:p w14:paraId="3AE82439">
      <w:pPr>
        <w:pStyle w:val="3"/>
        <w:spacing w:beforeLines="100" w:afterLines="100" w:line="240" w:lineRule="auto"/>
        <w:jc w:val="center"/>
        <w:rPr>
          <w:rFonts w:ascii="黑体" w:hAnsi="黑体" w:eastAsia="黑体" w:cs="Times New Roman"/>
          <w:color w:val="auto"/>
          <w:kern w:val="0"/>
          <w:sz w:val="30"/>
          <w:highlight w:val="none"/>
        </w:rPr>
      </w:pPr>
      <w:bookmarkStart w:id="10" w:name="_Toc139103814"/>
      <w:r>
        <w:rPr>
          <w:rFonts w:ascii="黑体" w:hAnsi="黑体" w:eastAsia="黑体" w:cs="Times New Roman"/>
          <w:color w:val="auto"/>
          <w:kern w:val="0"/>
          <w:sz w:val="30"/>
          <w:highlight w:val="none"/>
        </w:rPr>
        <w:t>六、中标与政府采购合同</w:t>
      </w:r>
      <w:bookmarkEnd w:id="10"/>
    </w:p>
    <w:p w14:paraId="3CD31D4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12、中标</w:t>
      </w:r>
    </w:p>
    <w:p w14:paraId="223126F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12.1本项目推荐的中标候选人家数：详见招标文件第二章。</w:t>
      </w:r>
    </w:p>
    <w:p w14:paraId="5EF1395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12.2本项目中标人的确定：详见招标文件第二章。</w:t>
      </w:r>
    </w:p>
    <w:p w14:paraId="1867C73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12.3中标公告</w:t>
      </w:r>
    </w:p>
    <w:p w14:paraId="11F15E1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（1）中标人确定之日起2个工作日内，</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将在招标文件载明的指定媒体以中标公告的形式发布中标结果。</w:t>
      </w:r>
    </w:p>
    <w:p w14:paraId="2B143A1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（2）中标公告的公告期限为1个工作日。</w:t>
      </w:r>
    </w:p>
    <w:p w14:paraId="46D8C74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12.4中标通知书</w:t>
      </w:r>
    </w:p>
    <w:p w14:paraId="4305FE3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（1）中标公告发布的同时，</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将向中标人发出中标通知书。</w:t>
      </w:r>
    </w:p>
    <w:p w14:paraId="7B1DB1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（2）中标通知书发出后，采购人不得违法改变中标结果，中标人无正当理由不得放弃中标。</w:t>
      </w:r>
    </w:p>
    <w:p w14:paraId="5C1491C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13、政府采购合同</w:t>
      </w:r>
    </w:p>
    <w:p w14:paraId="7679976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88BB04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13.2签订时限：详见须知前附表1的13.2。</w:t>
      </w:r>
    </w:p>
    <w:p w14:paraId="530417C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13.3政府采购合同的履行、违约责任和解决争议的方法等适用民法典。</w:t>
      </w:r>
    </w:p>
    <w:p w14:paraId="39B2192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13.4采购人与中标人应根据政府采购合同的约定依法履行合同义务。</w:t>
      </w:r>
    </w:p>
    <w:p w14:paraId="4202BF1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13.5政府采购合同履行过程中，采购人若需追加与合同标的相同的货物或服务，则追加采购金额不得超过原合同采购金额的10%。</w:t>
      </w:r>
    </w:p>
    <w:p w14:paraId="075CA3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13.6中标人在政府采购合同履行过程中应遵守有关法律、法规和规章的强制性规定（即使前述强制性规定有可能在招标文件中未予列明）。</w:t>
      </w:r>
    </w:p>
    <w:p w14:paraId="2F1D5868">
      <w:pPr>
        <w:pStyle w:val="3"/>
        <w:spacing w:beforeLines="100" w:afterLines="100" w:line="240" w:lineRule="auto"/>
        <w:jc w:val="center"/>
        <w:rPr>
          <w:rFonts w:ascii="黑体" w:hAnsi="黑体" w:eastAsia="黑体" w:cs="Times New Roman"/>
          <w:color w:val="auto"/>
          <w:kern w:val="0"/>
          <w:sz w:val="30"/>
          <w:highlight w:val="none"/>
        </w:rPr>
      </w:pPr>
      <w:bookmarkStart w:id="11" w:name="_Toc139103815"/>
      <w:r>
        <w:rPr>
          <w:rFonts w:ascii="黑体" w:hAnsi="黑体" w:eastAsia="黑体" w:cs="Times New Roman"/>
          <w:color w:val="auto"/>
          <w:kern w:val="0"/>
          <w:sz w:val="30"/>
          <w:highlight w:val="none"/>
        </w:rPr>
        <w:t>七、询问、质疑与投诉</w:t>
      </w:r>
      <w:bookmarkEnd w:id="11"/>
    </w:p>
    <w:p w14:paraId="61A4AEF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14、询问</w:t>
      </w:r>
    </w:p>
    <w:p w14:paraId="43535FB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14.1潜在投标人或投标人对本次采购活动的有关事项若有疑问，可向</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提出询问，</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将按照政府采购法及实施条例的有关规定进行答复。</w:t>
      </w:r>
    </w:p>
    <w:p w14:paraId="416F900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15、质疑</w:t>
      </w:r>
    </w:p>
    <w:p w14:paraId="7AAA94F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2A3D37B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2E42D6D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（2）质疑人应按照招标文件第二章规定方式提交质疑函。</w:t>
      </w:r>
    </w:p>
    <w:p w14:paraId="219FE70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（3）质疑函应包括下列主要内容：</w:t>
      </w:r>
    </w:p>
    <w:p w14:paraId="3EEA270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①质疑人的基本信息，至少包括：全称、地址、邮政编码等；</w:t>
      </w:r>
    </w:p>
    <w:p w14:paraId="301CC1C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②所质疑项目的基本信息，至少包括：项目编号、项目名称等；</w:t>
      </w:r>
    </w:p>
    <w:p w14:paraId="688987E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③所质疑的具体事项（以下简称：“质疑事项”）；</w:t>
      </w:r>
    </w:p>
    <w:p w14:paraId="0A9899B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④针对质疑事项提出的明确请求，前述明确请求指质疑人提出质疑的目的以及希望</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对其质疑作出的处理结果，如：暂停招标投标活动、修改招标文件、停止或纠正违法违规行为、中标结果无效、废标、重新招标等；</w:t>
      </w:r>
    </w:p>
    <w:p w14:paraId="7F5D6EA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⑤针对质疑事项导致质疑人自身权益受到损害的必要证明材料，至少包括：</w:t>
      </w:r>
    </w:p>
    <w:p w14:paraId="7F3F2BD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a.质疑人代表的身份证明材料：</w:t>
      </w:r>
    </w:p>
    <w:p w14:paraId="72EF24D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58C4DC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a2若本项目接受自然人投标且质疑人为自然人的，提供本人的身份证复印件。</w:t>
      </w:r>
    </w:p>
    <w:p w14:paraId="55FA079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b.其他证明材料（即事实依据和必要的法律依据）包括但不限于下列材料：</w:t>
      </w:r>
    </w:p>
    <w:p w14:paraId="7060105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b1所质疑的具体事项是与自己有利害关系的证明材料；</w:t>
      </w:r>
    </w:p>
    <w:p w14:paraId="3208F69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b2质疑函所述事实存在的证明材料，如：采购文件、采购过程或中标结果违法违规或不符合采购文件要求等证明材料；</w:t>
      </w:r>
    </w:p>
    <w:p w14:paraId="6407FC9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b3依法应终止采购程序的证明材料；</w:t>
      </w:r>
    </w:p>
    <w:p w14:paraId="6866F7C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b4应重新采购的证明材料；</w:t>
      </w:r>
    </w:p>
    <w:p w14:paraId="28A4739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b5采购文件、采购过程或中标、成交结果损害自己合法权益的证明材料等；</w:t>
      </w:r>
    </w:p>
    <w:p w14:paraId="080DEBA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913072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⑥质疑人代表及其联系方法的信息，至少包括：姓名、手机、电子信箱、邮寄地址等。</w:t>
      </w:r>
    </w:p>
    <w:p w14:paraId="50476CC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⑦提出质疑的日期。</w:t>
      </w:r>
    </w:p>
    <w:p w14:paraId="0C5064B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※质疑人为法人或其他组织的，质疑函应由单位负责人或委托代理人签字或盖章，并加盖投标人的单位公章。质疑人为自然人的，质疑函应由本人签字。</w:t>
      </w:r>
    </w:p>
    <w:p w14:paraId="23FB00C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15.2对不符合本章第15.1条规定的质疑，将按照下列规定进行处理：</w:t>
      </w:r>
    </w:p>
    <w:p w14:paraId="340C797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（1）不符合其中第（1）、（2）条规定的，书面告知质疑人不予受理及其理由。</w:t>
      </w:r>
    </w:p>
    <w:p w14:paraId="06FDD12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（2）不符合其中第（3）条规定的，书面告知质疑人修改、补充后在规定时限内重新提交质疑函。</w:t>
      </w:r>
    </w:p>
    <w:p w14:paraId="1571D92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15.3对符合本章第15.1条规定的质疑，将按照政府采购法及实施条例、政府采购质疑和投诉办法的有关规定进行答复。</w:t>
      </w:r>
    </w:p>
    <w:p w14:paraId="7A12D28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15.4招标文件的质疑：详见招标文件第二章。</w:t>
      </w:r>
    </w:p>
    <w:p w14:paraId="7B2242B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16、投诉</w:t>
      </w:r>
    </w:p>
    <w:p w14:paraId="6FA22F9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4389E3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16.2投诉应有明确的请求和必要的证明材料，投诉的事项不得超出已质疑事项的范围。</w:t>
      </w:r>
    </w:p>
    <w:p w14:paraId="6906100F">
      <w:pPr>
        <w:pStyle w:val="3"/>
        <w:spacing w:beforeLines="100" w:afterLines="100" w:line="240" w:lineRule="auto"/>
        <w:jc w:val="center"/>
        <w:rPr>
          <w:rFonts w:ascii="黑体" w:hAnsi="黑体" w:eastAsia="黑体" w:cs="Times New Roman"/>
          <w:color w:val="auto"/>
          <w:kern w:val="0"/>
          <w:sz w:val="30"/>
          <w:highlight w:val="none"/>
        </w:rPr>
      </w:pPr>
      <w:bookmarkStart w:id="12" w:name="_Toc139103816"/>
      <w:r>
        <w:rPr>
          <w:rFonts w:ascii="黑体" w:hAnsi="黑体" w:eastAsia="黑体" w:cs="Times New Roman"/>
          <w:color w:val="auto"/>
          <w:kern w:val="0"/>
          <w:sz w:val="30"/>
          <w:highlight w:val="none"/>
        </w:rPr>
        <w:t>八、政府采购政策</w:t>
      </w:r>
      <w:bookmarkEnd w:id="12"/>
    </w:p>
    <w:p w14:paraId="11E0A35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17、政府采购政策由财政部根据国家的经济和社会发展政策并会同国家有关部委制定，包括但不限于下列具体政策要求：</w:t>
      </w:r>
    </w:p>
    <w:p w14:paraId="2B4D2DB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17.1进口产品指通过中国海关报关验放进入中国境内且产自关境外的产品，其中：</w:t>
      </w:r>
    </w:p>
    <w:p w14:paraId="0CFB34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29B4D2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（2）凡在海关特殊监管区域内企业生产或加工（包括从境外进口料件）销往境内其他地区的产品，不作为政府采购项下进口产品。</w:t>
      </w:r>
    </w:p>
    <w:p w14:paraId="59A3472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（3）对从境外进入海关特殊监管区域，再经办理报关手续后从海关特殊监管区进入境内其他地区的产品，认定为进口产品。</w:t>
      </w:r>
    </w:p>
    <w:p w14:paraId="6CDFF4B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（4）招标文件列明不允许或未列明允许进口产品参加投标的，均视为拒绝进口产品参加投标。</w:t>
      </w:r>
    </w:p>
    <w:p w14:paraId="5F875A1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935ADA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9FBDB8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（1）中小企业指符合下列条件的中型、小型、微型企业：</w:t>
      </w:r>
    </w:p>
    <w:p w14:paraId="0C7A7A4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D0F331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②符合中小企业划分标准的个体工商户，在政府采购活动中视同中小企业。</w:t>
      </w:r>
    </w:p>
    <w:p w14:paraId="17B3943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（2）在政府采购活动中，供应商提供的货物、工程或者服务符合下列情形的，享受本办法规定的中小企业扶持政策：</w:t>
      </w:r>
    </w:p>
    <w:p w14:paraId="3E1467B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①在货物采购项目中，货物由中小企业制造，即货物由中小企业生产且使用该中小企业商号或者注册商标；</w:t>
      </w:r>
    </w:p>
    <w:p w14:paraId="615F09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②在工程采购项目中，工程由中小企业承建，即工程施工单位为中小企业；</w:t>
      </w:r>
    </w:p>
    <w:p w14:paraId="73BF9B5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③在服务采购项目中，服务由中小企业承接，即提供服务的人员为中小企业依照《中华人民共和国劳动合同法》订立劳动合同的从业人员。</w:t>
      </w:r>
    </w:p>
    <w:p w14:paraId="043A5DA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在货物采购项目中，供应商提供的货物既有中小企业制造货物，也有大型企业制造货物的，不享受本办法规定的中小企业扶持政策。</w:t>
      </w:r>
    </w:p>
    <w:p w14:paraId="555AAEF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以联合体形式参加政府采购活动，联合体各方均为中小企业的，联合体视同中小企业。其中，联合体各方均为小微企业的，联合体视同小微企业。</w:t>
      </w:r>
    </w:p>
    <w:p w14:paraId="5C6D6C3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（3）投标人应当按照招标文件明确的采购标的对应行业的划分标准出具中小企业声明函。</w:t>
      </w:r>
    </w:p>
    <w:p w14:paraId="61C36EE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9BF892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282EA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①监狱企业参加采购活动时，应提供由省级以上监狱管理局、戒毒管理局（含新疆生产建设兵团）出具的属于监狱企业的证明文件。</w:t>
      </w:r>
    </w:p>
    <w:p w14:paraId="47B9D13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②监狱企业视同小型、微型企业。</w:t>
      </w:r>
    </w:p>
    <w:p w14:paraId="6EE3243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（5）残疾人福利性单位指同时符合下列条件的单位：</w:t>
      </w:r>
    </w:p>
    <w:p w14:paraId="0B6F33E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①安置的残疾人占本单位在职职工人数的比例不低于25%（含25%），并且安置的残疾人人数不少于10人（含10人）；</w:t>
      </w:r>
    </w:p>
    <w:p w14:paraId="56CC012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②依法与安置的每位残疾人签订了一年以上（含一年）的劳动合同或服务协议；</w:t>
      </w:r>
    </w:p>
    <w:p w14:paraId="1976196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③为安置的每位残疾人按月足额缴纳了基本养老保险、基本医疗保险、失业保险、工伤保险和生育保险等社会保险费；</w:t>
      </w:r>
    </w:p>
    <w:p w14:paraId="44FF57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④通过银行等金融机构向安置的每位残疾人，按月支付了不低于单位所在区县适用的经省级人民政府批准的月最低工资标准的工资；</w:t>
      </w:r>
    </w:p>
    <w:p w14:paraId="7F97D18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⑤提供本单位制造的货物、承担的工程或服务，或提供其他残疾人福利性单位制造的货物（不包括使用非残疾人福利性单位注册商标的货物）。</w:t>
      </w:r>
    </w:p>
    <w:p w14:paraId="68E3374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106DF3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E01969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17.4信用记录指由财政部确定的有关网站提供的相关主体信用信息。信用记录的查询及使用应符合财政部文件（财库[2016]125号）规定。</w:t>
      </w:r>
    </w:p>
    <w:p w14:paraId="24637C5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17.5为落实政府采购政策需满足的要求：详见招标文件第一章。</w:t>
      </w:r>
    </w:p>
    <w:p w14:paraId="69A8CEA6">
      <w:pPr>
        <w:pStyle w:val="3"/>
        <w:spacing w:beforeLines="100" w:afterLines="100" w:line="240" w:lineRule="auto"/>
        <w:jc w:val="center"/>
        <w:rPr>
          <w:rFonts w:ascii="黑体" w:hAnsi="黑体" w:eastAsia="黑体" w:cs="Times New Roman"/>
          <w:color w:val="auto"/>
          <w:kern w:val="0"/>
          <w:sz w:val="30"/>
          <w:highlight w:val="none"/>
        </w:rPr>
      </w:pPr>
      <w:bookmarkStart w:id="13" w:name="_Toc139103817"/>
      <w:r>
        <w:rPr>
          <w:rFonts w:ascii="黑体" w:hAnsi="黑体" w:eastAsia="黑体" w:cs="Times New Roman"/>
          <w:color w:val="auto"/>
          <w:kern w:val="0"/>
          <w:sz w:val="30"/>
          <w:highlight w:val="none"/>
        </w:rPr>
        <w:t>九、本项目的有关信息</w:t>
      </w:r>
      <w:bookmarkEnd w:id="13"/>
    </w:p>
    <w:p w14:paraId="090670E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1FFF409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18.1指定媒体：详见招标文件第二章。</w:t>
      </w:r>
    </w:p>
    <w:p w14:paraId="7438031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18.2本项目的潜在投标人或投标人应随时关注指定媒体，否则产生不利后果由其自行承担。</w:t>
      </w:r>
    </w:p>
    <w:p w14:paraId="0F1BBAEB">
      <w:pPr>
        <w:pStyle w:val="3"/>
        <w:spacing w:beforeLines="100" w:afterLines="100" w:line="240" w:lineRule="auto"/>
        <w:jc w:val="center"/>
        <w:rPr>
          <w:rFonts w:ascii="黑体" w:hAnsi="黑体" w:eastAsia="黑体" w:cs="Times New Roman"/>
          <w:color w:val="auto"/>
          <w:kern w:val="0"/>
          <w:sz w:val="30"/>
          <w:highlight w:val="none"/>
        </w:rPr>
      </w:pPr>
      <w:bookmarkStart w:id="14" w:name="_Toc139103818"/>
      <w:r>
        <w:rPr>
          <w:rFonts w:ascii="黑体" w:hAnsi="黑体" w:eastAsia="黑体" w:cs="Times New Roman"/>
          <w:color w:val="auto"/>
          <w:kern w:val="0"/>
          <w:sz w:val="30"/>
          <w:highlight w:val="none"/>
        </w:rPr>
        <w:t>十、其他事项</w:t>
      </w:r>
      <w:bookmarkEnd w:id="14"/>
    </w:p>
    <w:p w14:paraId="0267A95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19、其他事项：</w:t>
      </w:r>
    </w:p>
    <w:p w14:paraId="3BB588B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206089B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19.2其他：详见招标文件第二章。</w:t>
      </w:r>
    </w:p>
    <w:p w14:paraId="6F0C0F5F">
      <w:pPr>
        <w:rPr>
          <w:color w:val="auto"/>
          <w:highlight w:val="none"/>
        </w:rPr>
      </w:pPr>
    </w:p>
    <w:p w14:paraId="623A9A69">
      <w:pPr>
        <w:rPr>
          <w:color w:val="auto"/>
          <w:highlight w:val="none"/>
        </w:rPr>
        <w:sectPr>
          <w:pgSz w:w="11906" w:h="16838"/>
          <w:pgMar w:top="1418" w:right="1418" w:bottom="1418" w:left="1418" w:header="851" w:footer="992" w:gutter="0"/>
          <w:cols w:space="425" w:num="1"/>
          <w:docGrid w:type="lines" w:linePitch="312" w:charSpace="0"/>
        </w:sectPr>
      </w:pPr>
    </w:p>
    <w:p w14:paraId="4E097277">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5" w:name="_Toc139103819"/>
      <w:r>
        <w:rPr>
          <w:rFonts w:ascii="黑体" w:hAnsi="黑体" w:eastAsia="黑体" w:cs="Times New Roman"/>
          <w:color w:val="auto"/>
          <w:kern w:val="0"/>
          <w:sz w:val="32"/>
          <w:szCs w:val="44"/>
          <w:highlight w:val="none"/>
        </w:rPr>
        <w:t>第四章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资格审查与评标</w:t>
      </w:r>
      <w:bookmarkEnd w:id="15"/>
    </w:p>
    <w:p w14:paraId="3321DD2B">
      <w:pPr>
        <w:pStyle w:val="3"/>
        <w:spacing w:beforeLines="100" w:afterLines="100" w:line="240" w:lineRule="auto"/>
        <w:jc w:val="center"/>
        <w:rPr>
          <w:rFonts w:ascii="黑体" w:hAnsi="黑体" w:eastAsia="黑体" w:cs="Times New Roman"/>
          <w:color w:val="auto"/>
          <w:kern w:val="0"/>
          <w:sz w:val="30"/>
          <w:highlight w:val="none"/>
        </w:rPr>
      </w:pPr>
      <w:bookmarkStart w:id="16" w:name="_Toc139103820"/>
      <w:r>
        <w:rPr>
          <w:rFonts w:ascii="黑体" w:hAnsi="黑体" w:eastAsia="黑体" w:cs="Times New Roman"/>
          <w:color w:val="auto"/>
          <w:kern w:val="0"/>
          <w:sz w:val="30"/>
          <w:highlight w:val="none"/>
        </w:rPr>
        <w:t>一、资格审查</w:t>
      </w:r>
      <w:bookmarkEnd w:id="16"/>
    </w:p>
    <w:p w14:paraId="6318460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1、开标结束后，由</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负责资格审查小组的组建及资格审查工作的组织。</w:t>
      </w:r>
    </w:p>
    <w:p w14:paraId="49D0CE4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1.1资格审查小组</w:t>
      </w:r>
    </w:p>
    <w:p w14:paraId="1CE81E7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资格审查小组由3人组成，并负责具体审查事务，其中由采购人派出的采购人代表至少1人，由</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派出的工作人员至少1人，其余1人可为采购人代表或</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的工作人员。</w:t>
      </w:r>
    </w:p>
    <w:p w14:paraId="76121D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1.2资格审查的依据是招标文件和电子投标文件。</w:t>
      </w:r>
    </w:p>
    <w:p w14:paraId="6A90D07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1.3资格审查的范围及内容：电子投标文件（资格及资信证明部分），具体如下：</w:t>
      </w:r>
    </w:p>
    <w:p w14:paraId="3F9F7B9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（1）“投标函”；</w:t>
      </w:r>
    </w:p>
    <w:p w14:paraId="23A0617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（2）“投标人的资格及资信证明文件”</w:t>
      </w:r>
    </w:p>
    <w:p w14:paraId="308387D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①一般资格证明文件：</w:t>
      </w:r>
    </w:p>
    <w:p w14:paraId="02E738C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9"/>
        <w:gridCol w:w="6146"/>
      </w:tblGrid>
      <w:tr w14:paraId="38409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3C65A5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189" w:type="dxa"/>
            <w:vAlign w:val="center"/>
          </w:tcPr>
          <w:p w14:paraId="6E8BBDC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资格审查要求概况</w:t>
            </w:r>
          </w:p>
        </w:tc>
        <w:tc>
          <w:tcPr>
            <w:tcW w:w="6146" w:type="dxa"/>
            <w:vAlign w:val="center"/>
          </w:tcPr>
          <w:p w14:paraId="5199373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37B3C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75DB36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189" w:type="dxa"/>
            <w:vAlign w:val="center"/>
          </w:tcPr>
          <w:p w14:paraId="365B86B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单位授权书</w:t>
            </w:r>
          </w:p>
        </w:tc>
        <w:tc>
          <w:tcPr>
            <w:tcW w:w="6146" w:type="dxa"/>
            <w:vAlign w:val="center"/>
          </w:tcPr>
          <w:p w14:paraId="1F851B2A">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F543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2872BF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2</w:t>
            </w:r>
          </w:p>
        </w:tc>
        <w:tc>
          <w:tcPr>
            <w:tcW w:w="2189" w:type="dxa"/>
            <w:vAlign w:val="center"/>
          </w:tcPr>
          <w:p w14:paraId="1A62358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营业执照等证明文件</w:t>
            </w:r>
          </w:p>
        </w:tc>
        <w:tc>
          <w:tcPr>
            <w:tcW w:w="6146" w:type="dxa"/>
            <w:vAlign w:val="center"/>
          </w:tcPr>
          <w:p w14:paraId="3F22A5E5">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5679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BB7AF9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3</w:t>
            </w:r>
          </w:p>
        </w:tc>
        <w:tc>
          <w:tcPr>
            <w:tcW w:w="2189" w:type="dxa"/>
            <w:vAlign w:val="center"/>
          </w:tcPr>
          <w:p w14:paraId="0BB74DE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提供财务状况报告</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财务报告、或资信证明）</w:t>
            </w:r>
          </w:p>
        </w:tc>
        <w:tc>
          <w:tcPr>
            <w:tcW w:w="6146" w:type="dxa"/>
            <w:vAlign w:val="center"/>
          </w:tcPr>
          <w:p w14:paraId="33DA4BE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4977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452AF79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4</w:t>
            </w:r>
          </w:p>
        </w:tc>
        <w:tc>
          <w:tcPr>
            <w:tcW w:w="2189" w:type="dxa"/>
            <w:vAlign w:val="center"/>
          </w:tcPr>
          <w:p w14:paraId="5DF426F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依法缴纳税收证明材料</w:t>
            </w:r>
          </w:p>
        </w:tc>
        <w:tc>
          <w:tcPr>
            <w:tcW w:w="6146" w:type="dxa"/>
            <w:vAlign w:val="center"/>
          </w:tcPr>
          <w:p w14:paraId="3C60D367">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908F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56C4FC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5</w:t>
            </w:r>
          </w:p>
        </w:tc>
        <w:tc>
          <w:tcPr>
            <w:tcW w:w="2189" w:type="dxa"/>
            <w:vAlign w:val="center"/>
          </w:tcPr>
          <w:p w14:paraId="3D9725C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依法缴纳社会保障资金证明材料</w:t>
            </w:r>
          </w:p>
        </w:tc>
        <w:tc>
          <w:tcPr>
            <w:tcW w:w="6146" w:type="dxa"/>
            <w:vAlign w:val="center"/>
          </w:tcPr>
          <w:p w14:paraId="2BE60A84">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3001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60FEC6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6</w:t>
            </w:r>
          </w:p>
        </w:tc>
        <w:tc>
          <w:tcPr>
            <w:tcW w:w="2189" w:type="dxa"/>
            <w:vAlign w:val="center"/>
          </w:tcPr>
          <w:p w14:paraId="5A77FE6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具备履行合同所必需设备和专业技术能力的声明函</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若有</w:t>
            </w:r>
            <w:r>
              <w:rPr>
                <w:rFonts w:hint="eastAsia" w:asciiTheme="minorEastAsia" w:hAnsiTheme="minorEastAsia"/>
                <w:color w:val="auto"/>
                <w:sz w:val="24"/>
                <w:szCs w:val="24"/>
                <w:highlight w:val="none"/>
              </w:rPr>
              <w:t>）</w:t>
            </w:r>
          </w:p>
        </w:tc>
        <w:tc>
          <w:tcPr>
            <w:tcW w:w="6146" w:type="dxa"/>
            <w:vAlign w:val="center"/>
          </w:tcPr>
          <w:p w14:paraId="002AB571">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BCC7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A7E904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7</w:t>
            </w:r>
          </w:p>
        </w:tc>
        <w:tc>
          <w:tcPr>
            <w:tcW w:w="2189" w:type="dxa"/>
            <w:vAlign w:val="center"/>
          </w:tcPr>
          <w:p w14:paraId="291C4F1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参加采购活动前三年内在经营活动中没有重大违法记录的声明</w:t>
            </w:r>
          </w:p>
        </w:tc>
        <w:tc>
          <w:tcPr>
            <w:tcW w:w="6146" w:type="dxa"/>
            <w:vAlign w:val="center"/>
          </w:tcPr>
          <w:p w14:paraId="280FD41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400F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2CF9D1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8</w:t>
            </w:r>
          </w:p>
        </w:tc>
        <w:tc>
          <w:tcPr>
            <w:tcW w:w="2189" w:type="dxa"/>
            <w:vAlign w:val="center"/>
          </w:tcPr>
          <w:p w14:paraId="7EEDEBD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信用记录查询结果</w:t>
            </w:r>
          </w:p>
        </w:tc>
        <w:tc>
          <w:tcPr>
            <w:tcW w:w="6146" w:type="dxa"/>
            <w:vAlign w:val="center"/>
          </w:tcPr>
          <w:p w14:paraId="32583099">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④经查询，投标人参加本项目采购活动（投标截止时间）前三年内被列入失信被执行人名单、重大税收违法失信主体</w:t>
            </w:r>
            <w:r>
              <w:rPr>
                <w:rFonts w:hint="eastAsia" w:asciiTheme="minorEastAsia" w:hAnsiTheme="minorEastAsia"/>
                <w:color w:val="auto"/>
                <w:sz w:val="24"/>
                <w:szCs w:val="24"/>
                <w:highlight w:val="none"/>
              </w:rPr>
              <w:t>名单</w:t>
            </w:r>
            <w:r>
              <w:rPr>
                <w:rFonts w:asciiTheme="minorEastAsia" w:hAnsiTheme="minorEastAsia"/>
                <w:color w:val="auto"/>
                <w:sz w:val="24"/>
                <w:szCs w:val="24"/>
                <w:highlight w:val="none"/>
              </w:rPr>
              <w:t>、政府采购严重违法失信行为记录名单及其他重大违法记录且相关信用惩戒期限未满的，其资格审查不合格。</w:t>
            </w:r>
          </w:p>
        </w:tc>
      </w:tr>
      <w:tr w14:paraId="67240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1C7A5F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9</w:t>
            </w:r>
          </w:p>
        </w:tc>
        <w:tc>
          <w:tcPr>
            <w:tcW w:w="2189" w:type="dxa"/>
            <w:vAlign w:val="center"/>
          </w:tcPr>
          <w:p w14:paraId="657394B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中小企业声明函（以资格条件落实中小企业扶持政策时适用）</w:t>
            </w:r>
          </w:p>
        </w:tc>
        <w:tc>
          <w:tcPr>
            <w:tcW w:w="6146" w:type="dxa"/>
            <w:vAlign w:val="center"/>
          </w:tcPr>
          <w:p w14:paraId="747B8A28">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F511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F7F680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10</w:t>
            </w:r>
          </w:p>
        </w:tc>
        <w:tc>
          <w:tcPr>
            <w:tcW w:w="2189" w:type="dxa"/>
            <w:vAlign w:val="center"/>
          </w:tcPr>
          <w:p w14:paraId="1ABDD4D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联合体协议（若有）</w:t>
            </w:r>
          </w:p>
        </w:tc>
        <w:tc>
          <w:tcPr>
            <w:tcW w:w="6146" w:type="dxa"/>
            <w:vAlign w:val="center"/>
          </w:tcPr>
          <w:p w14:paraId="50017EAA">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①招标文件接受联合体投标且投标人为联合体的，投标人应提供本协议；否则无须提供。</w:t>
            </w:r>
          </w:p>
          <w:p w14:paraId="2022B425">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②本协议由委托代理人签字或盖章的，应按照招标文件第七章载明的格式提供“单位授权书”。</w:t>
            </w:r>
          </w:p>
        </w:tc>
      </w:tr>
    </w:tbl>
    <w:p w14:paraId="024A107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※备注说明</w:t>
      </w:r>
    </w:p>
    <w:p w14:paraId="39D7EB4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①投标人应根据自身实际情况提供上述资格要求的证明材料，格式可参考招标文件第七章提供。</w:t>
      </w:r>
    </w:p>
    <w:p w14:paraId="5455D9C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②投标人提供的相应证明材料复印件均应符合：内容完整、清晰、整洁，并由投标人加盖其单位公章。</w:t>
      </w:r>
    </w:p>
    <w:p w14:paraId="6749F97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680A573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④.其他资格证明文件：</w:t>
      </w:r>
    </w:p>
    <w:p w14:paraId="79048B3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14:paraId="5EF8B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7238E955">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资格审查要求概况</w:t>
            </w:r>
          </w:p>
        </w:tc>
        <w:tc>
          <w:tcPr>
            <w:tcW w:w="5545" w:type="dxa"/>
            <w:vAlign w:val="center"/>
          </w:tcPr>
          <w:p w14:paraId="692D794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178F0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7082382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（同第一章）</w:t>
            </w:r>
          </w:p>
        </w:tc>
        <w:tc>
          <w:tcPr>
            <w:tcW w:w="5545" w:type="dxa"/>
            <w:vAlign w:val="center"/>
          </w:tcPr>
          <w:p w14:paraId="0D395883">
            <w:pPr>
              <w:spacing w:line="360" w:lineRule="auto"/>
              <w:rPr>
                <w:rFonts w:asciiTheme="minorEastAsia" w:hAnsiTheme="minorEastAsia"/>
                <w:color w:val="auto"/>
                <w:sz w:val="24"/>
                <w:szCs w:val="24"/>
                <w:highlight w:val="none"/>
              </w:rPr>
            </w:pPr>
          </w:p>
        </w:tc>
      </w:tr>
    </w:tbl>
    <w:p w14:paraId="2986435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（3）投标保证金。</w:t>
      </w:r>
    </w:p>
    <w:p w14:paraId="067C694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1.4有下列情形之一的，资格审查不合格：</w:t>
      </w:r>
    </w:p>
    <w:tbl>
      <w:tblPr>
        <w:tblStyle w:val="17"/>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7"/>
      </w:tblGrid>
      <w:tr w14:paraId="4CA40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227" w:type="dxa"/>
          </w:tcPr>
          <w:p w14:paraId="055E56C5">
            <w:pPr>
              <w:spacing w:line="360" w:lineRule="auto"/>
              <w:jc w:val="center"/>
              <w:rPr>
                <w:color w:val="auto"/>
                <w:sz w:val="24"/>
                <w:szCs w:val="24"/>
                <w:highlight w:val="none"/>
              </w:rPr>
            </w:pPr>
            <w:r>
              <w:rPr>
                <w:color w:val="auto"/>
                <w:sz w:val="24"/>
                <w:szCs w:val="24"/>
                <w:highlight w:val="none"/>
              </w:rPr>
              <w:t>明细</w:t>
            </w:r>
          </w:p>
        </w:tc>
      </w:tr>
      <w:tr w14:paraId="12BC1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70214B1E">
            <w:pPr>
              <w:spacing w:line="360" w:lineRule="auto"/>
              <w:rPr>
                <w:color w:val="auto"/>
                <w:sz w:val="24"/>
                <w:szCs w:val="24"/>
                <w:highlight w:val="none"/>
              </w:rPr>
            </w:pPr>
            <w:r>
              <w:rPr>
                <w:color w:val="auto"/>
                <w:sz w:val="24"/>
                <w:szCs w:val="24"/>
                <w:highlight w:val="none"/>
              </w:rPr>
              <w:t>未按照招标文件规定提交投标函</w:t>
            </w:r>
          </w:p>
        </w:tc>
      </w:tr>
      <w:tr w14:paraId="11C41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4F04ED1B">
            <w:pPr>
              <w:spacing w:line="360" w:lineRule="auto"/>
              <w:rPr>
                <w:color w:val="auto"/>
                <w:sz w:val="24"/>
                <w:szCs w:val="24"/>
                <w:highlight w:val="none"/>
              </w:rPr>
            </w:pPr>
            <w:r>
              <w:rPr>
                <w:color w:val="auto"/>
                <w:sz w:val="24"/>
                <w:szCs w:val="24"/>
                <w:highlight w:val="none"/>
              </w:rPr>
              <w:t>未按照招标文件规定提交投标人的资格及资信文件</w:t>
            </w:r>
          </w:p>
        </w:tc>
      </w:tr>
      <w:tr w14:paraId="4AAB0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1D14CA8C">
            <w:pPr>
              <w:spacing w:line="360" w:lineRule="auto"/>
              <w:rPr>
                <w:color w:val="auto"/>
                <w:sz w:val="24"/>
                <w:szCs w:val="24"/>
                <w:highlight w:val="none"/>
              </w:rPr>
            </w:pPr>
            <w:r>
              <w:rPr>
                <w:color w:val="auto"/>
                <w:sz w:val="24"/>
                <w:szCs w:val="24"/>
                <w:highlight w:val="none"/>
              </w:rPr>
              <w:t>未按照招标文件规定提交投标保证金</w:t>
            </w:r>
          </w:p>
        </w:tc>
      </w:tr>
    </w:tbl>
    <w:p w14:paraId="1851BEF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p w14:paraId="65FE43A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资格审查不合格项：无</w:t>
      </w:r>
    </w:p>
    <w:p w14:paraId="3D025EB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00724C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2、资格审查情况不得私自外泄，有关信息由</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统一对外发布。</w:t>
      </w:r>
    </w:p>
    <w:p w14:paraId="1967DDF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3、资格审查合格的投标人不足三家的，不进行评标。同时，本次采购活动结束，</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将依法组织后续采购活动（包括但不限于：重新招标、采用其他方式采购等）。</w:t>
      </w:r>
    </w:p>
    <w:p w14:paraId="2774C451">
      <w:pPr>
        <w:pStyle w:val="3"/>
        <w:spacing w:beforeLines="100" w:afterLines="100" w:line="240" w:lineRule="auto"/>
        <w:jc w:val="center"/>
        <w:rPr>
          <w:rFonts w:ascii="黑体" w:hAnsi="黑体" w:eastAsia="黑体" w:cs="Times New Roman"/>
          <w:color w:val="auto"/>
          <w:kern w:val="0"/>
          <w:sz w:val="30"/>
          <w:highlight w:val="none"/>
        </w:rPr>
      </w:pPr>
      <w:bookmarkStart w:id="17" w:name="_Toc139103821"/>
      <w:r>
        <w:rPr>
          <w:rFonts w:ascii="黑体" w:hAnsi="黑体" w:eastAsia="黑体" w:cs="Times New Roman"/>
          <w:color w:val="auto"/>
          <w:kern w:val="0"/>
          <w:sz w:val="30"/>
          <w:highlight w:val="none"/>
        </w:rPr>
        <w:t>二、评标</w:t>
      </w:r>
      <w:bookmarkEnd w:id="17"/>
    </w:p>
    <w:p w14:paraId="6EA7706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4、资格审查结束后，由</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负责评标委员会的组建及评标工作的组织。</w:t>
      </w:r>
    </w:p>
    <w:p w14:paraId="3C4A9A8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5、评标委员会</w:t>
      </w:r>
    </w:p>
    <w:p w14:paraId="3341E70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由采购人代表和评审专家两部分共5人组成，其中由福建省政府采购评审专家库产生的评审专家4人，由采购人派出的采购人代表1人。</w:t>
      </w:r>
    </w:p>
    <w:p w14:paraId="6FE978C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5.2评标委员会负责具体评标事务，并按照下列原则依法独立履行有关职责：</w:t>
      </w:r>
    </w:p>
    <w:p w14:paraId="14CC6CA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（1）评标应保护国家利益、社会公共利益和各方当事人合法权益，提高采购效益，保证项目质量。</w:t>
      </w:r>
    </w:p>
    <w:p w14:paraId="3D8684A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（2）评标应遵循公平、公正、科学、严谨和择优原则。</w:t>
      </w:r>
    </w:p>
    <w:p w14:paraId="30AA55B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（3）评标的依据是招标文件和电子投标文件。</w:t>
      </w:r>
    </w:p>
    <w:p w14:paraId="441CC2E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（4）应按照招标文件规定推荐中标候选人或确定中标人。</w:t>
      </w:r>
    </w:p>
    <w:p w14:paraId="3D3977A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（5）评标应遵守下列评标纪律：</w:t>
      </w:r>
    </w:p>
    <w:p w14:paraId="0CDAAEB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①评标情况不得私自外泄，有关信息由</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统一对外发布。</w:t>
      </w:r>
    </w:p>
    <w:p w14:paraId="1FEE140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②对</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或投标人提供的要求保密的资料，不得摘记翻印和外传。</w:t>
      </w:r>
    </w:p>
    <w:p w14:paraId="5CCCCEE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③不得收受投标人或有关人员的任何礼物，不得串联鼓动其他人袒护某投标人。若与投标人存在利害关系，则应主动声明并回避。</w:t>
      </w:r>
    </w:p>
    <w:p w14:paraId="0717634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④全体评委应按照招标文件规定进行评标，一切认定事项应查有实据且不得弄虚作假。</w:t>
      </w:r>
    </w:p>
    <w:p w14:paraId="39974F8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⑤评标中应充分发扬民主，推荐中标候选人或确定中标人后要服从评标报告。</w:t>
      </w:r>
    </w:p>
    <w:p w14:paraId="38B01E9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※对违反评标纪律的评委，将取消其评委资格，对评标工作造成严重损失者将予以通报批评乃至追究法律责任。</w:t>
      </w:r>
    </w:p>
    <w:p w14:paraId="0536505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6、评标程序</w:t>
      </w:r>
    </w:p>
    <w:p w14:paraId="3EA9055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6.1评标前的准备工作</w:t>
      </w:r>
    </w:p>
    <w:p w14:paraId="72B077E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（1）全体评委应认真审阅招标文件，了解评委应履行或遵守的职责、义务和评标纪律。</w:t>
      </w:r>
    </w:p>
    <w:p w14:paraId="09902C8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7418C47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6.2符合性审查</w:t>
      </w:r>
    </w:p>
    <w:p w14:paraId="5FB5349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（1）评标委员会依据招标文件的实质性要求，对通过资格审查的电子投标文件进行符合性审查，以确定其是否满足招标文件的实质性要求。</w:t>
      </w:r>
    </w:p>
    <w:p w14:paraId="24A2410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（2）满足招标文件的实质性要求指电子投标文件对招标文件实质性要求的响应不存在重大偏差或保留。</w:t>
      </w:r>
    </w:p>
    <w:p w14:paraId="3A2BD6B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6CFF9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74E498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（5）评标委员会对所有投标人都执行相同的程序和标准。</w:t>
      </w:r>
    </w:p>
    <w:p w14:paraId="1FB5069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（6）有下列情形之一的，符合性审查不合格：</w:t>
      </w:r>
    </w:p>
    <w:p w14:paraId="30336C9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①项目一般情形：</w:t>
      </w:r>
    </w:p>
    <w:p w14:paraId="5D8FDC0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282"/>
        <w:gridCol w:w="5903"/>
      </w:tblGrid>
      <w:tr w14:paraId="54482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789017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282" w:type="dxa"/>
            <w:vAlign w:val="center"/>
          </w:tcPr>
          <w:p w14:paraId="752EC78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符合审查要求概况</w:t>
            </w:r>
          </w:p>
        </w:tc>
        <w:tc>
          <w:tcPr>
            <w:tcW w:w="5903" w:type="dxa"/>
            <w:vAlign w:val="center"/>
          </w:tcPr>
          <w:p w14:paraId="64C0964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0C283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3DA85A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282" w:type="dxa"/>
            <w:vAlign w:val="center"/>
          </w:tcPr>
          <w:p w14:paraId="7FEF246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情形1</w:t>
            </w:r>
          </w:p>
        </w:tc>
        <w:tc>
          <w:tcPr>
            <w:tcW w:w="5903" w:type="dxa"/>
            <w:vAlign w:val="center"/>
          </w:tcPr>
          <w:p w14:paraId="0185200C">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违反招标文件中载明“投标无效”条款的规定；</w:t>
            </w:r>
          </w:p>
        </w:tc>
      </w:tr>
      <w:tr w14:paraId="457EA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8B53908">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2</w:t>
            </w:r>
          </w:p>
        </w:tc>
        <w:tc>
          <w:tcPr>
            <w:tcW w:w="2282" w:type="dxa"/>
            <w:vAlign w:val="center"/>
          </w:tcPr>
          <w:p w14:paraId="78436698">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情形2</w:t>
            </w:r>
          </w:p>
        </w:tc>
        <w:tc>
          <w:tcPr>
            <w:tcW w:w="5903" w:type="dxa"/>
            <w:vAlign w:val="center"/>
          </w:tcPr>
          <w:p w14:paraId="183A2DC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属于招标文件第三章第10.12条规定的投标无效情形；</w:t>
            </w:r>
          </w:p>
        </w:tc>
      </w:tr>
      <w:tr w14:paraId="69895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33E06FE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3</w:t>
            </w:r>
          </w:p>
        </w:tc>
        <w:tc>
          <w:tcPr>
            <w:tcW w:w="2282" w:type="dxa"/>
            <w:vAlign w:val="center"/>
          </w:tcPr>
          <w:p w14:paraId="18A3242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情形3</w:t>
            </w:r>
          </w:p>
        </w:tc>
        <w:tc>
          <w:tcPr>
            <w:tcW w:w="5903" w:type="dxa"/>
            <w:vAlign w:val="center"/>
          </w:tcPr>
          <w:p w14:paraId="1110D434">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投标文件对招标文件实质性要求的响应存在重大偏离或保留。</w:t>
            </w:r>
          </w:p>
        </w:tc>
      </w:tr>
      <w:tr w14:paraId="4E649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BCFE16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w:t>
            </w:r>
          </w:p>
        </w:tc>
        <w:tc>
          <w:tcPr>
            <w:tcW w:w="2282" w:type="dxa"/>
            <w:vAlign w:val="center"/>
          </w:tcPr>
          <w:p w14:paraId="72D5038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带★号条款</w:t>
            </w:r>
          </w:p>
        </w:tc>
        <w:tc>
          <w:tcPr>
            <w:tcW w:w="5903" w:type="dxa"/>
            <w:vAlign w:val="center"/>
          </w:tcPr>
          <w:p w14:paraId="40FDC3EC">
            <w:pPr>
              <w:spacing w:line="360" w:lineRule="auto"/>
              <w:rPr>
                <w:rFonts w:asciiTheme="minorEastAsia" w:hAnsiTheme="minorEastAsia"/>
                <w:color w:val="auto"/>
                <w:sz w:val="24"/>
                <w:szCs w:val="24"/>
                <w:highlight w:val="none"/>
              </w:rPr>
            </w:pPr>
          </w:p>
        </w:tc>
      </w:tr>
    </w:tbl>
    <w:p w14:paraId="7F714EF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②本项目规定的其他情形：</w:t>
      </w:r>
    </w:p>
    <w:p w14:paraId="3241EA9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p w14:paraId="527F6DB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4F962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2663A3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797DB69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34189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4E22539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5FA73DD9">
            <w:pPr>
              <w:spacing w:line="360" w:lineRule="auto"/>
              <w:rPr>
                <w:rFonts w:asciiTheme="minorEastAsia" w:hAnsiTheme="minorEastAsia"/>
                <w:color w:val="auto"/>
                <w:sz w:val="24"/>
                <w:szCs w:val="24"/>
                <w:highlight w:val="none"/>
              </w:rPr>
            </w:pPr>
          </w:p>
        </w:tc>
      </w:tr>
    </w:tbl>
    <w:p w14:paraId="26F84D4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商务符合性：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6E048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260D343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6CBC266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1752C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086A2F7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118EFCF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05CB115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附加符合性：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59563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45F058C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2DAC297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69B87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335CC472">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56C3D278">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3B94370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价格符合性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2879C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413AB4E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4E3F933B">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09423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26A3849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345460D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186A88D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6.3澄清有关问题</w:t>
      </w:r>
    </w:p>
    <w:p w14:paraId="4629E48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4FE815F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1A4C9C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（3）电子投标文件报价出现前后不一致的，除招标文件另有规定外，按照下列规定修正：</w:t>
      </w:r>
    </w:p>
    <w:p w14:paraId="06C1B6E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①开标（报价）一览表内容与电子投标文件中相应内容不一致的，以开标（报价）一览表为准；</w:t>
      </w:r>
    </w:p>
    <w:p w14:paraId="6D69146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②大写金额和小写金额不一致的，以大写金额为准；</w:t>
      </w:r>
    </w:p>
    <w:p w14:paraId="117DBE4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③单价金额小数点或百分比有明显错位的，以开标（报价）一览表的总价为准，并修改单价；</w:t>
      </w:r>
    </w:p>
    <w:p w14:paraId="72F088B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④总价金额与按照单价汇总金额不一致的，以单价金额计算结果为准。</w:t>
      </w:r>
    </w:p>
    <w:p w14:paraId="3C6EF70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3DD1EBD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（4）关于细微偏差</w:t>
      </w:r>
    </w:p>
    <w:p w14:paraId="148C28F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EDD6C3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7AD7037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（5）关于投标描述（即电子投标文件中描述的内容）</w:t>
      </w:r>
    </w:p>
    <w:p w14:paraId="48A42FC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①投标描述前后不一致且不涉及证明材料的：按照本章第6.3条第（1）、（2）款规定执行。</w:t>
      </w:r>
    </w:p>
    <w:p w14:paraId="6E4436A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②投标描述与证明材料不一致或多份证明材料之间不一致的：</w:t>
      </w:r>
    </w:p>
    <w:p w14:paraId="6E6C062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a.评标委员会将要求投标人进行书面澄清，并按照不利于投标人的内容进行评标。</w:t>
      </w:r>
    </w:p>
    <w:p w14:paraId="0D1EFED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D47E9A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D24C84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6.4比较与评价</w:t>
      </w:r>
    </w:p>
    <w:p w14:paraId="6C58CCF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（1）按照本章第7条载明的评标方法和标准，对符合性审查合格的电子投标文件进行比较与评价。</w:t>
      </w:r>
    </w:p>
    <w:p w14:paraId="095073B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（2）关于相同品牌产品（政府采购服务类项目不适用本条款规定）</w:t>
      </w:r>
    </w:p>
    <w:p w14:paraId="3E4E253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8AFDA6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a.招标文件规定的方式：</w:t>
      </w:r>
    </w:p>
    <w:p w14:paraId="655F81D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7CFB2C4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b.招标文件未规定的，采取随机抽取方式确定，其他投标无效。</w:t>
      </w:r>
    </w:p>
    <w:p w14:paraId="0F06803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22C40E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a.招标文件规定的方式：</w:t>
      </w:r>
    </w:p>
    <w:p w14:paraId="4A76301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613A508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b.招标文件未规定的，采取随机抽取方式确定，其他同品牌投标人不作为中标候选人。</w:t>
      </w:r>
    </w:p>
    <w:p w14:paraId="62801D4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③非单一产品采购项目，多家投标人提供的核心产品品牌相同的，按照本章第6.4条第（2）款第①、②规定处理。</w:t>
      </w:r>
    </w:p>
    <w:p w14:paraId="64C3F53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（3）漏（缺）项</w:t>
      </w:r>
    </w:p>
    <w:p w14:paraId="208B339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①招标文件中要求列入报价的费用（含配置、功能），漏（缺）项的报价视为已经包括在投标总价中。</w:t>
      </w:r>
    </w:p>
    <w:p w14:paraId="60F3A5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②对多报项及赠送项的价格评标时不予核减，全部进入评标价评议。</w:t>
      </w:r>
    </w:p>
    <w:p w14:paraId="1DD5486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6.5推荐中标候选人：详见本章第7.2条规定。</w:t>
      </w:r>
    </w:p>
    <w:p w14:paraId="09B082D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6.6编写评标报告</w:t>
      </w:r>
    </w:p>
    <w:p w14:paraId="446D034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（1）评标报告由评标委员会负责编写。</w:t>
      </w:r>
    </w:p>
    <w:p w14:paraId="3BB3C17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（2）评标报告应包括下列内容：</w:t>
      </w:r>
    </w:p>
    <w:p w14:paraId="7DA7E27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①招标公告刊登的媒体名称、开标日期和地点；</w:t>
      </w:r>
    </w:p>
    <w:p w14:paraId="6C58FFD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②投标人名单和评标委员会成员名单；</w:t>
      </w:r>
    </w:p>
    <w:p w14:paraId="69BBF93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③评标方法和标准；</w:t>
      </w:r>
    </w:p>
    <w:p w14:paraId="0D44647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④开标记录和评标情况及说明，包括无效投标人名单及原因；</w:t>
      </w:r>
    </w:p>
    <w:p w14:paraId="5EC572A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⑤评标结果，包括中标候选人名单或确定的中标人；</w:t>
      </w:r>
    </w:p>
    <w:p w14:paraId="335A947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⑥其他需要说明的情况，包括但不限于：评标过程中投标人的澄清、说明或补正，评委更换等。</w:t>
      </w:r>
    </w:p>
    <w:p w14:paraId="288B293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B2D6A9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2AC554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6.9在评标过程中发现投标人有下列情形之一的，评标委员会应认定其投标无效，并书面报告本项目监督管理部门：</w:t>
      </w:r>
    </w:p>
    <w:p w14:paraId="1D7B1A3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（1）恶意串通（包括但不限于招标文件第三章第9.7条规定情形）；</w:t>
      </w:r>
    </w:p>
    <w:p w14:paraId="3128E71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（2）妨碍其他投标人的竞争行为；</w:t>
      </w:r>
    </w:p>
    <w:p w14:paraId="63C3A7B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（3）损害采购人或其他投标人的合法权益。</w:t>
      </w:r>
    </w:p>
    <w:p w14:paraId="7B9353D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6.10评标过程中，有下列情形之一的，应予废标：</w:t>
      </w:r>
    </w:p>
    <w:p w14:paraId="7F5DEB3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（1）符合性审查合格的投标人不足三家的；</w:t>
      </w:r>
    </w:p>
    <w:p w14:paraId="6EFFD42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（2）有关法律、法规和规章规定废标的情形。</w:t>
      </w:r>
    </w:p>
    <w:p w14:paraId="1887649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※若废标，则本次采购活动结束，</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将依法组织后续采购活动（包括但不限于：重新招标、采用其他方式采购等）。</w:t>
      </w:r>
    </w:p>
    <w:p w14:paraId="118F417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7、评标方法和标准</w:t>
      </w:r>
    </w:p>
    <w:p w14:paraId="2F34C16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7.1评标方法：</w:t>
      </w:r>
    </w:p>
    <w:p w14:paraId="03ED79B8">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采购包1：综合评分法</w:t>
      </w:r>
    </w:p>
    <w:p w14:paraId="550216A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7.2评标标准</w:t>
      </w:r>
    </w:p>
    <w:p w14:paraId="09035E69">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采购包1：综合评分法</w:t>
      </w:r>
    </w:p>
    <w:p w14:paraId="2F48072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（1）投标文件满足招标文件全部实质性要求，且按照评审因素的量化指标评审得分（即评标总得分）最高的投标人为中标候选人。</w:t>
      </w:r>
    </w:p>
    <w:p w14:paraId="4690C93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34975DD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各项评审因素的设置如下：</w:t>
      </w:r>
    </w:p>
    <w:p w14:paraId="6F3EBAF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价格项（F1×A1）满分为30.00分</w:t>
      </w:r>
    </w:p>
    <w:p w14:paraId="093634C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满足招标文件要求且报价最低的为评审基准价，价格项得分=（评审基准价/投标报价）×价格项满分值。最低报价不是中标的唯一依据。因落实政府采购政策进行价格调整的，以调整后的价格计算评标基准价和投标报价。</w:t>
      </w:r>
    </w:p>
    <w:p w14:paraId="229944C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优先类节能产品、环境标志产品的价格扣除规则如下：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0"/>
        <w:gridCol w:w="907"/>
        <w:gridCol w:w="6379"/>
      </w:tblGrid>
      <w:tr w14:paraId="363AE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4D011B20">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项目</w:t>
            </w:r>
          </w:p>
        </w:tc>
        <w:tc>
          <w:tcPr>
            <w:tcW w:w="907" w:type="dxa"/>
            <w:vAlign w:val="center"/>
          </w:tcPr>
          <w:p w14:paraId="0087F677">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比例</w:t>
            </w:r>
          </w:p>
        </w:tc>
        <w:tc>
          <w:tcPr>
            <w:tcW w:w="6379" w:type="dxa"/>
            <w:vAlign w:val="center"/>
          </w:tcPr>
          <w:p w14:paraId="779F6C49">
            <w:pPr>
              <w:spacing w:line="360" w:lineRule="auto"/>
              <w:jc w:val="center"/>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方法</w:t>
            </w:r>
          </w:p>
        </w:tc>
      </w:tr>
      <w:tr w14:paraId="63C02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4B8B226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节能、环境</w:t>
            </w:r>
          </w:p>
          <w:p w14:paraId="4ED5EEA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标志产品</w:t>
            </w:r>
          </w:p>
        </w:tc>
        <w:tc>
          <w:tcPr>
            <w:tcW w:w="907" w:type="dxa"/>
            <w:vAlign w:val="center"/>
          </w:tcPr>
          <w:p w14:paraId="38E6C60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10%</w:t>
            </w:r>
          </w:p>
        </w:tc>
        <w:tc>
          <w:tcPr>
            <w:tcW w:w="6379" w:type="dxa"/>
            <w:vAlign w:val="center"/>
          </w:tcPr>
          <w:p w14:paraId="33F4FBF3">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14:paraId="4971F552">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2、投标人应对优先采购产品和非优先采购产品进行分项报价，并单独汇总优先采购产品的总价；若投标人未按要求进行分项报价的，自行承担无法享受价格扣除的不利后果。</w:t>
            </w:r>
          </w:p>
          <w:p w14:paraId="48E86FE6">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3、非优先采购产品、强制类节能产品不享受价格扣除优惠。同一优先采购产品中各认证证书不重复计算价格扣除。</w:t>
            </w:r>
          </w:p>
        </w:tc>
      </w:tr>
    </w:tbl>
    <w:p w14:paraId="48E15A64">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其他：无</w:t>
      </w:r>
    </w:p>
    <w:p w14:paraId="0F5FFB05">
      <w:pPr>
        <w:pStyle w:val="54"/>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技术项（F2×A2）满分为55.00分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1FBAF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FABB43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项目</w:t>
            </w:r>
          </w:p>
        </w:tc>
        <w:tc>
          <w:tcPr>
            <w:tcW w:w="810" w:type="dxa"/>
            <w:vAlign w:val="center"/>
          </w:tcPr>
          <w:p w14:paraId="6230D16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分值</w:t>
            </w:r>
          </w:p>
        </w:tc>
        <w:tc>
          <w:tcPr>
            <w:tcW w:w="1040" w:type="dxa"/>
            <w:vAlign w:val="center"/>
          </w:tcPr>
          <w:p w14:paraId="5E6E336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是否客观项</w:t>
            </w:r>
          </w:p>
        </w:tc>
        <w:tc>
          <w:tcPr>
            <w:tcW w:w="6626" w:type="dxa"/>
            <w:vAlign w:val="center"/>
          </w:tcPr>
          <w:p w14:paraId="305096F7">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描述</w:t>
            </w:r>
          </w:p>
        </w:tc>
      </w:tr>
      <w:tr w14:paraId="2AC3F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9918302">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E14BBB0">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3</w:t>
            </w:r>
          </w:p>
        </w:tc>
        <w:tc>
          <w:tcPr>
            <w:tcW w:w="1040" w:type="dxa"/>
            <w:vAlign w:val="center"/>
          </w:tcPr>
          <w:p w14:paraId="79925802">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是</w:t>
            </w:r>
          </w:p>
        </w:tc>
        <w:tc>
          <w:tcPr>
            <w:tcW w:w="6626" w:type="dxa"/>
            <w:vAlign w:val="center"/>
          </w:tcPr>
          <w:p w14:paraId="7B02BDEE">
            <w:pPr>
              <w:spacing w:line="360" w:lineRule="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投标人所投“闸门-止水橡皮”完全符合招标文件第五章3.1.1项下所有要求的得3分，投标人须提供产品彩页或样册或使用手册或技术说明书或产品官网数据截图进行佐证，否则不得分。</w:t>
            </w:r>
          </w:p>
        </w:tc>
      </w:tr>
      <w:tr w14:paraId="5363F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15938B3">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D38D8C3">
            <w:pPr>
              <w:spacing w:line="360" w:lineRule="auto"/>
              <w:jc w:val="center"/>
              <w:rPr>
                <w:rFonts w:hint="default" w:asciiTheme="minorEastAsia" w:hAnsiTheme="minorEastAsia"/>
                <w:color w:val="auto"/>
                <w:sz w:val="24"/>
                <w:szCs w:val="24"/>
                <w:highlight w:val="none"/>
                <w:lang w:val="en-US"/>
              </w:rPr>
            </w:pPr>
            <w:r>
              <w:rPr>
                <w:rFonts w:hint="eastAsia" w:asciiTheme="minorEastAsia" w:hAnsiTheme="minorEastAsia"/>
                <w:color w:val="auto"/>
                <w:sz w:val="24"/>
                <w:szCs w:val="24"/>
                <w:highlight w:val="none"/>
                <w:lang w:eastAsia="zh-CN"/>
              </w:rPr>
              <w:t>3</w:t>
            </w:r>
          </w:p>
        </w:tc>
        <w:tc>
          <w:tcPr>
            <w:tcW w:w="1040" w:type="dxa"/>
            <w:vAlign w:val="center"/>
          </w:tcPr>
          <w:p w14:paraId="4543F68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34A9A1D2">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w:t>
            </w:r>
            <w:r>
              <w:rPr>
                <w:rFonts w:hint="eastAsia" w:ascii="宋体" w:hAnsi="宋体" w:eastAsia="宋体"/>
                <w:color w:val="auto"/>
                <w:sz w:val="24"/>
                <w:szCs w:val="28"/>
                <w:highlight w:val="none"/>
                <w:lang w:val="en-US" w:eastAsia="zh-CN"/>
              </w:rPr>
              <w:t>门体参数</w:t>
            </w:r>
            <w:r>
              <w:rPr>
                <w:rFonts w:hint="eastAsia" w:asciiTheme="minorEastAsia" w:hAnsiTheme="minorEastAsia"/>
                <w:color w:val="auto"/>
                <w:sz w:val="24"/>
                <w:szCs w:val="24"/>
                <w:highlight w:val="none"/>
                <w:lang w:val="en-US" w:eastAsia="zh-CN"/>
              </w:rPr>
              <w:t>”完全符合招标文件第五章3.1.2项下所有要求的得3分，投标人须提供产品彩页或样册或使用手册或技术说明书或产品官网数据截图进行佐证，否则不得分。</w:t>
            </w:r>
          </w:p>
        </w:tc>
      </w:tr>
      <w:tr w14:paraId="17F76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EE838FD">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2600E05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vAlign w:val="center"/>
          </w:tcPr>
          <w:p w14:paraId="2D8A9B9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5178CC46">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投标人所投“闸门-中间铰支座”完全符合招标文件第五章3.1.3项下所有要求的得3分，投标人须提供产品彩页或样册或使用手册或技术说明书或产品官网数据截图进行佐证，否则不得分。</w:t>
            </w:r>
          </w:p>
        </w:tc>
      </w:tr>
      <w:tr w14:paraId="57C6B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7167CF5">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0538DB6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vAlign w:val="center"/>
          </w:tcPr>
          <w:p w14:paraId="22BD91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196961E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w:t>
            </w:r>
            <w:r>
              <w:rPr>
                <w:rFonts w:hint="eastAsia" w:ascii="宋体" w:hAnsi="宋体" w:eastAsia="宋体"/>
                <w:color w:val="auto"/>
                <w:sz w:val="24"/>
                <w:szCs w:val="28"/>
                <w:highlight w:val="none"/>
                <w:lang w:val="en-US" w:eastAsia="zh-CN"/>
              </w:rPr>
              <w:t>边铰支座</w:t>
            </w:r>
            <w:r>
              <w:rPr>
                <w:rFonts w:hint="eastAsia" w:asciiTheme="minorEastAsia" w:hAnsiTheme="minorEastAsia"/>
                <w:color w:val="auto"/>
                <w:sz w:val="24"/>
                <w:szCs w:val="24"/>
                <w:highlight w:val="none"/>
                <w:lang w:val="en-US" w:eastAsia="zh-CN"/>
              </w:rPr>
              <w:t>”完全符合招标文件第五章3.1.4项下所有要求的得3分，投标人须提供产品彩页或样册或使用手册或技术说明书或产品官网数据截图进行佐证，否则不得分。</w:t>
            </w:r>
          </w:p>
        </w:tc>
      </w:tr>
      <w:tr w14:paraId="69C28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DE96A6A">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0935FF0D">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vAlign w:val="center"/>
          </w:tcPr>
          <w:p w14:paraId="451EFD70">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是</w:t>
            </w:r>
          </w:p>
        </w:tc>
        <w:tc>
          <w:tcPr>
            <w:tcW w:w="6626" w:type="dxa"/>
            <w:vAlign w:val="center"/>
          </w:tcPr>
          <w:p w14:paraId="1AE6F48D">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投标人所投“闸门-穿墙防水套”完全符合招标文件第五章3.1.5项下所有要求的得3分，投标人须提供产品彩页或样册或使用手册或技术说明书或产品官网数据截图进行佐证，否则不得分。</w:t>
            </w:r>
          </w:p>
        </w:tc>
      </w:tr>
      <w:tr w14:paraId="0BF40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30CAEE5">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7797833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w:t>
            </w:r>
          </w:p>
        </w:tc>
        <w:tc>
          <w:tcPr>
            <w:tcW w:w="1040" w:type="dxa"/>
            <w:vAlign w:val="center"/>
          </w:tcPr>
          <w:p w14:paraId="455F326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7FF4A605">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投标人所投“闸门-地横轴”完全符合招标文件第五章3.1.6项下所有要求的得3分，投标人须提供产品彩页或样册或使用手册或技术说明书或产品官网数据截图进行佐证，否则不得分。</w:t>
            </w:r>
          </w:p>
        </w:tc>
      </w:tr>
      <w:tr w14:paraId="7FF7F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4DF3906">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6C194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w:t>
            </w:r>
          </w:p>
        </w:tc>
        <w:tc>
          <w:tcPr>
            <w:tcW w:w="1040" w:type="dxa"/>
            <w:vAlign w:val="center"/>
          </w:tcPr>
          <w:p w14:paraId="17CA170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448DBBE8">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投标人所投“闸门-拐臂”完全符合招标文件第五章3.1.7项下所有要求的得3分，投标人须提供产品彩页或样册或使用手册或技术说明书或产品官网数据截图进行佐证，否则不得分。</w:t>
            </w:r>
          </w:p>
        </w:tc>
      </w:tr>
      <w:tr w14:paraId="1DB2C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9F048C3">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5A938F5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w:t>
            </w:r>
          </w:p>
        </w:tc>
        <w:tc>
          <w:tcPr>
            <w:tcW w:w="1040" w:type="dxa"/>
            <w:vAlign w:val="center"/>
          </w:tcPr>
          <w:p w14:paraId="337AEBE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759B543A">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投标人所投“闸门-启闭机”完全符合招标文件第五章3.1.8项下所有要求的得3分，投标人须提供产品彩页或样册或使用手册或技术说明书或产品官网数据截图进行佐证，否则不得分。</w:t>
            </w:r>
          </w:p>
        </w:tc>
      </w:tr>
      <w:tr w14:paraId="571F5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076CFBB">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3D8CAA1D">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vAlign w:val="center"/>
          </w:tcPr>
          <w:p w14:paraId="684F324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7116FC6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w:t>
            </w:r>
            <w:r>
              <w:rPr>
                <w:rFonts w:hint="eastAsia" w:ascii="宋体" w:hAnsi="宋体" w:eastAsia="宋体"/>
                <w:color w:val="auto"/>
                <w:sz w:val="24"/>
                <w:szCs w:val="28"/>
                <w:highlight w:val="none"/>
                <w:lang w:val="en-US" w:eastAsia="zh-CN"/>
              </w:rPr>
              <w:t>自动控制系统</w:t>
            </w:r>
            <w:r>
              <w:rPr>
                <w:rFonts w:hint="eastAsia" w:asciiTheme="minorEastAsia" w:hAnsiTheme="minorEastAsia"/>
                <w:color w:val="auto"/>
                <w:sz w:val="24"/>
                <w:szCs w:val="24"/>
                <w:highlight w:val="none"/>
                <w:lang w:val="en-US" w:eastAsia="zh-CN"/>
              </w:rPr>
              <w:t>”完全符合招标文件第五章3.1.9项下所有要求的得3分，投标人须提供产品彩页或样册或使用手册或技术说明书或产品官网数据截图进行佐证，否则不得分。</w:t>
            </w:r>
          </w:p>
        </w:tc>
      </w:tr>
      <w:tr w14:paraId="71528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E5E609B">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30EE3B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vAlign w:val="center"/>
          </w:tcPr>
          <w:p w14:paraId="16660BE8">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6C8B9428">
            <w:pPr>
              <w:spacing w:line="360" w:lineRule="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投标人所投闸门完全符合招标文件第五章3.2</w:t>
            </w:r>
            <w:r>
              <w:rPr>
                <w:rFonts w:hint="eastAsia" w:ascii="宋体" w:hAnsi="宋体" w:eastAsia="宋体"/>
                <w:color w:val="auto"/>
                <w:sz w:val="24"/>
                <w:szCs w:val="28"/>
                <w:highlight w:val="none"/>
                <w:lang w:val="en-US" w:eastAsia="zh-CN"/>
              </w:rPr>
              <w:t>闸门防腐设计</w:t>
            </w:r>
            <w:r>
              <w:rPr>
                <w:rFonts w:hint="eastAsia" w:asciiTheme="minorEastAsia" w:hAnsiTheme="minorEastAsia"/>
                <w:color w:val="auto"/>
                <w:sz w:val="24"/>
                <w:szCs w:val="24"/>
                <w:highlight w:val="none"/>
                <w:lang w:val="en-US" w:eastAsia="zh-CN"/>
              </w:rPr>
              <w:t>项下所有要求的得3分，投标人须提供产品彩页或样册或使用手册或技术说明书或产品官网数据截图进行佐证，否则不得分。</w:t>
            </w:r>
          </w:p>
        </w:tc>
      </w:tr>
      <w:tr w14:paraId="36135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91273B9">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9D458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vAlign w:val="center"/>
          </w:tcPr>
          <w:p w14:paraId="41685A6E">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是</w:t>
            </w:r>
          </w:p>
        </w:tc>
        <w:tc>
          <w:tcPr>
            <w:tcW w:w="6626" w:type="dxa"/>
            <w:vAlign w:val="center"/>
          </w:tcPr>
          <w:p w14:paraId="1913613A">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投标人</w:t>
            </w:r>
            <w:r>
              <w:rPr>
                <w:rFonts w:hint="eastAsia" w:asciiTheme="minorEastAsia" w:hAnsiTheme="minorEastAsia"/>
                <w:color w:val="auto"/>
                <w:sz w:val="24"/>
                <w:szCs w:val="24"/>
                <w:highlight w:val="none"/>
                <w:lang w:val="en-US" w:eastAsia="zh-CN"/>
              </w:rPr>
              <w:t>针对本项目</w:t>
            </w:r>
            <w:r>
              <w:rPr>
                <w:rFonts w:hint="eastAsia" w:asciiTheme="minorEastAsia" w:hAnsiTheme="minorEastAsia"/>
                <w:color w:val="auto"/>
                <w:sz w:val="24"/>
                <w:szCs w:val="24"/>
                <w:highlight w:val="none"/>
              </w:rPr>
              <w:t>所投电缆</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配线</w:t>
            </w:r>
            <w:r>
              <w:rPr>
                <w:rFonts w:hint="eastAsia" w:asciiTheme="minorEastAsia" w:hAnsiTheme="minorEastAsia"/>
                <w:color w:val="auto"/>
                <w:sz w:val="24"/>
                <w:szCs w:val="24"/>
                <w:highlight w:val="none"/>
              </w:rPr>
              <w:t>型号规格符合</w:t>
            </w:r>
            <w:r>
              <w:rPr>
                <w:rFonts w:hint="eastAsia" w:asciiTheme="minorEastAsia" w:hAnsiTheme="minorEastAsia"/>
                <w:color w:val="auto"/>
                <w:sz w:val="24"/>
                <w:szCs w:val="24"/>
                <w:highlight w:val="none"/>
                <w:lang w:val="en-US" w:eastAsia="zh-CN"/>
              </w:rPr>
              <w:t>招标文件要求、</w:t>
            </w:r>
            <w:r>
              <w:rPr>
                <w:rFonts w:hint="eastAsia" w:asciiTheme="minorEastAsia" w:hAnsiTheme="minorEastAsia"/>
                <w:color w:val="auto"/>
                <w:sz w:val="24"/>
                <w:szCs w:val="24"/>
                <w:highlight w:val="none"/>
              </w:rPr>
              <w:t>国家相关标准规范要求</w:t>
            </w:r>
            <w:r>
              <w:rPr>
                <w:rFonts w:hint="eastAsia" w:asciiTheme="minorEastAsia" w:hAnsiTheme="minorEastAsia"/>
                <w:color w:val="auto"/>
                <w:sz w:val="24"/>
                <w:szCs w:val="24"/>
                <w:highlight w:val="none"/>
                <w:lang w:val="en-US" w:eastAsia="zh-CN"/>
              </w:rPr>
              <w:t>的得3分。</w:t>
            </w:r>
            <w:r>
              <w:rPr>
                <w:rFonts w:hint="eastAsia" w:ascii="宋体" w:hAnsi="宋体" w:eastAsia="宋体"/>
                <w:color w:val="auto"/>
                <w:sz w:val="24"/>
                <w:szCs w:val="28"/>
                <w:highlight w:val="none"/>
              </w:rPr>
              <w:t>投标人应提供国家认可的第三方检验（检测）机构出具的相应报告佐证（报告需加盖机构公章或检验检测专用章，并标注资质认定标志CMA或CNAS）</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未按要求提供的不予认可</w:t>
            </w:r>
            <w:r>
              <w:rPr>
                <w:rFonts w:hint="eastAsia" w:asciiTheme="minorEastAsia" w:hAnsiTheme="minorEastAsia"/>
                <w:color w:val="auto"/>
                <w:sz w:val="24"/>
                <w:szCs w:val="24"/>
                <w:highlight w:val="none"/>
                <w:lang w:val="en-US" w:eastAsia="zh-CN"/>
              </w:rPr>
              <w:t>，本项不得分</w:t>
            </w:r>
            <w:r>
              <w:rPr>
                <w:rFonts w:hint="eastAsia" w:asciiTheme="minorEastAsia" w:hAnsiTheme="minorEastAsia"/>
                <w:color w:val="auto"/>
                <w:sz w:val="24"/>
                <w:szCs w:val="24"/>
                <w:highlight w:val="none"/>
              </w:rPr>
              <w:t>。</w:t>
            </w:r>
          </w:p>
        </w:tc>
      </w:tr>
      <w:tr w14:paraId="61BE2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F4F3C3F">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662A544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7DEDEB27">
            <w:pPr>
              <w:spacing w:line="360" w:lineRule="auto"/>
              <w:jc w:val="center"/>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是</w:t>
            </w:r>
          </w:p>
        </w:tc>
        <w:tc>
          <w:tcPr>
            <w:tcW w:w="6626" w:type="dxa"/>
            <w:shd w:val="clear" w:color="auto" w:fill="auto"/>
            <w:vAlign w:val="top"/>
          </w:tcPr>
          <w:p w14:paraId="2A884EA9">
            <w:pPr>
              <w:spacing w:line="360" w:lineRule="auto"/>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rPr>
              <w:t>根据</w:t>
            </w:r>
            <w:r>
              <w:rPr>
                <w:rFonts w:hint="eastAsia" w:ascii="宋体" w:hAnsi="宋体" w:eastAsia="宋体"/>
                <w:color w:val="auto"/>
                <w:sz w:val="24"/>
                <w:szCs w:val="28"/>
                <w:highlight w:val="none"/>
                <w:lang w:val="en-US" w:eastAsia="zh-CN"/>
              </w:rPr>
              <w:t>投标人</w:t>
            </w:r>
            <w:r>
              <w:rPr>
                <w:rFonts w:hint="eastAsia" w:ascii="宋体" w:hAnsi="宋体" w:eastAsia="宋体"/>
                <w:color w:val="auto"/>
                <w:sz w:val="24"/>
                <w:szCs w:val="28"/>
                <w:highlight w:val="none"/>
              </w:rPr>
              <w:t>拟投入本项目的项目负责人进行评价：具备</w:t>
            </w:r>
            <w:r>
              <w:rPr>
                <w:rFonts w:hint="eastAsia" w:asciiTheme="minorEastAsia" w:hAnsiTheme="minorEastAsia" w:eastAsiaTheme="minorEastAsia"/>
                <w:bCs/>
                <w:iCs/>
                <w:color w:val="auto"/>
                <w:sz w:val="24"/>
                <w:highlight w:val="none"/>
              </w:rPr>
              <w:t>水利水电工程</w:t>
            </w:r>
            <w:r>
              <w:rPr>
                <w:rFonts w:hint="eastAsia" w:ascii="宋体" w:hAnsi="宋体" w:eastAsia="宋体"/>
                <w:color w:val="auto"/>
                <w:sz w:val="24"/>
                <w:szCs w:val="28"/>
                <w:highlight w:val="none"/>
              </w:rPr>
              <w:t>专业贰级及以上注册执业建造师证书,并持有行政主管部门颁发的安全生产考核合格“B”类证书的得3分。投标人须</w:t>
            </w:r>
            <w:r>
              <w:rPr>
                <w:rFonts w:hint="eastAsia" w:ascii="宋体" w:hAnsi="宋体" w:eastAsia="宋体"/>
                <w:color w:val="auto"/>
                <w:sz w:val="24"/>
                <w:szCs w:val="28"/>
                <w:highlight w:val="none"/>
                <w:lang w:val="en-US" w:eastAsia="zh-CN"/>
              </w:rPr>
              <w:t>完整</w:t>
            </w:r>
            <w:r>
              <w:rPr>
                <w:rFonts w:hint="eastAsia" w:ascii="宋体" w:hAnsi="宋体" w:eastAsia="宋体"/>
                <w:color w:val="auto"/>
                <w:sz w:val="24"/>
                <w:szCs w:val="28"/>
                <w:highlight w:val="none"/>
              </w:rPr>
              <w:t>提供</w:t>
            </w:r>
            <w:r>
              <w:rPr>
                <w:rFonts w:hint="eastAsia" w:ascii="宋体" w:hAnsi="宋体" w:eastAsia="宋体"/>
                <w:color w:val="auto"/>
                <w:sz w:val="24"/>
                <w:szCs w:val="28"/>
                <w:highlight w:val="none"/>
                <w:lang w:val="en-US" w:eastAsia="zh-CN"/>
              </w:rPr>
              <w:t>下述佐证材料，否则不得分：①</w:t>
            </w:r>
            <w:r>
              <w:rPr>
                <w:rFonts w:hint="eastAsia" w:ascii="宋体" w:hAnsi="宋体" w:eastAsia="宋体"/>
                <w:color w:val="auto"/>
                <w:sz w:val="24"/>
                <w:szCs w:val="28"/>
                <w:highlight w:val="none"/>
              </w:rPr>
              <w:t>项目负责人身份证及相关有效证书扫描件</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lang w:val="en-US" w:eastAsia="zh-CN"/>
              </w:rPr>
              <w:t>②</w:t>
            </w:r>
            <w:r>
              <w:rPr>
                <w:rFonts w:hint="eastAsia" w:ascii="宋体" w:hAnsi="宋体" w:eastAsia="宋体"/>
                <w:color w:val="auto"/>
                <w:sz w:val="24"/>
                <w:szCs w:val="28"/>
                <w:highlight w:val="none"/>
              </w:rPr>
              <w:t>提交投标文件截止时间前6个月（不含</w:t>
            </w:r>
            <w:r>
              <w:rPr>
                <w:rFonts w:hint="eastAsia" w:ascii="宋体" w:hAnsi="宋体" w:eastAsia="宋体"/>
                <w:color w:val="auto"/>
                <w:sz w:val="24"/>
                <w:szCs w:val="28"/>
                <w:highlight w:val="none"/>
                <w:lang w:val="en-US" w:eastAsia="zh-CN"/>
              </w:rPr>
              <w:t>开标</w:t>
            </w:r>
            <w:r>
              <w:rPr>
                <w:rFonts w:hint="eastAsia" w:ascii="宋体" w:hAnsi="宋体" w:eastAsia="宋体"/>
                <w:color w:val="auto"/>
                <w:sz w:val="24"/>
                <w:szCs w:val="28"/>
                <w:highlight w:val="none"/>
              </w:rPr>
              <w:t>当月）中任意一个月</w:t>
            </w:r>
            <w:r>
              <w:rPr>
                <w:rFonts w:hint="eastAsia" w:ascii="宋体" w:hAnsi="宋体" w:eastAsia="宋体"/>
                <w:color w:val="auto"/>
                <w:sz w:val="24"/>
                <w:szCs w:val="28"/>
                <w:highlight w:val="none"/>
                <w:lang w:val="en-US" w:eastAsia="zh-CN"/>
              </w:rPr>
              <w:t>由投标人</w:t>
            </w:r>
            <w:r>
              <w:rPr>
                <w:rFonts w:hint="eastAsia" w:ascii="宋体" w:hAnsi="宋体" w:eastAsia="宋体"/>
                <w:color w:val="auto"/>
                <w:sz w:val="24"/>
                <w:szCs w:val="28"/>
                <w:highlight w:val="none"/>
              </w:rPr>
              <w:t>为其缴交社保的证明</w:t>
            </w:r>
            <w:r>
              <w:rPr>
                <w:rFonts w:hint="eastAsia" w:ascii="宋体" w:hAnsi="宋体" w:eastAsia="宋体"/>
                <w:color w:val="auto"/>
                <w:sz w:val="24"/>
                <w:szCs w:val="28"/>
                <w:highlight w:val="none"/>
                <w:lang w:val="en-US" w:eastAsia="zh-CN"/>
              </w:rPr>
              <w:t>材料</w:t>
            </w:r>
            <w:r>
              <w:rPr>
                <w:rFonts w:hint="eastAsia" w:ascii="宋体" w:hAnsi="宋体" w:eastAsia="宋体"/>
                <w:color w:val="auto"/>
                <w:sz w:val="24"/>
                <w:szCs w:val="28"/>
                <w:highlight w:val="none"/>
              </w:rPr>
              <w:t>（因公司新成立，无法提供相关社保缴纳证明材料的，须提供相应的说明材料）。注：本项目执行《福建省住房和城乡建设厅关于优化二级建造师电子注册证书样式及证书使用要求的通知》(闽建筑函(2022)33号)和《住房和城乡建设部办公厅关于全面实行一级建造师电子注册证书的通知》(建办市(2021)40 号)规定，未按规定执行，后果由</w:t>
            </w:r>
            <w:r>
              <w:rPr>
                <w:rFonts w:hint="eastAsia" w:ascii="宋体" w:hAnsi="宋体" w:eastAsia="宋体"/>
                <w:color w:val="auto"/>
                <w:sz w:val="24"/>
                <w:szCs w:val="28"/>
                <w:highlight w:val="none"/>
                <w:lang w:val="en-US" w:eastAsia="zh-CN"/>
              </w:rPr>
              <w:t>投标人</w:t>
            </w:r>
            <w:r>
              <w:rPr>
                <w:rFonts w:hint="eastAsia" w:ascii="宋体" w:hAnsi="宋体" w:eastAsia="宋体"/>
                <w:color w:val="auto"/>
                <w:sz w:val="24"/>
                <w:szCs w:val="28"/>
                <w:highlight w:val="none"/>
              </w:rPr>
              <w:t>自行承担。</w:t>
            </w:r>
          </w:p>
        </w:tc>
      </w:tr>
      <w:tr w14:paraId="0C3CA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CE82002">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77A7CE9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67EE009A">
            <w:pPr>
              <w:spacing w:line="360" w:lineRule="auto"/>
              <w:jc w:val="center"/>
              <w:rPr>
                <w:rFonts w:hint="default" w:ascii="宋体" w:hAnsi="宋体" w:eastAsia="宋体" w:cstheme="minorBidi"/>
                <w:color w:val="auto"/>
                <w:kern w:val="2"/>
                <w:sz w:val="24"/>
                <w:szCs w:val="28"/>
                <w:highlight w:val="none"/>
                <w:lang w:val="en-US" w:eastAsia="zh-CN" w:bidi="ar-SA"/>
              </w:rPr>
            </w:pPr>
            <w:r>
              <w:rPr>
                <w:rFonts w:hint="eastAsia" w:ascii="宋体" w:hAnsi="宋体" w:eastAsia="宋体"/>
                <w:color w:val="auto"/>
                <w:sz w:val="24"/>
                <w:szCs w:val="28"/>
                <w:highlight w:val="none"/>
                <w:lang w:val="en-US" w:eastAsia="zh-CN"/>
              </w:rPr>
              <w:t>是</w:t>
            </w:r>
          </w:p>
        </w:tc>
        <w:tc>
          <w:tcPr>
            <w:tcW w:w="6626" w:type="dxa"/>
            <w:shd w:val="clear" w:color="auto" w:fill="auto"/>
            <w:vAlign w:val="center"/>
          </w:tcPr>
          <w:p w14:paraId="08276FEF">
            <w:pPr>
              <w:spacing w:line="360" w:lineRule="auto"/>
              <w:rPr>
                <w:rFonts w:hint="eastAsia" w:ascii="宋体" w:hAnsi="宋体" w:eastAsia="宋体" w:cstheme="minorBidi"/>
                <w:color w:val="auto"/>
                <w:kern w:val="2"/>
                <w:sz w:val="24"/>
                <w:szCs w:val="28"/>
                <w:highlight w:val="none"/>
                <w:lang w:val="en-US" w:eastAsia="zh-CN" w:bidi="ar-SA"/>
              </w:rPr>
            </w:pPr>
            <w:r>
              <w:rPr>
                <w:rFonts w:hint="eastAsia" w:ascii="宋体" w:hAnsi="宋体" w:eastAsia="宋体"/>
                <w:color w:val="auto"/>
                <w:sz w:val="24"/>
                <w:szCs w:val="28"/>
                <w:highlight w:val="none"/>
              </w:rPr>
              <w:t>根据</w:t>
            </w:r>
            <w:r>
              <w:rPr>
                <w:rFonts w:hint="eastAsia" w:ascii="宋体" w:hAnsi="宋体" w:eastAsia="宋体"/>
                <w:color w:val="auto"/>
                <w:sz w:val="24"/>
                <w:szCs w:val="28"/>
                <w:highlight w:val="none"/>
                <w:lang w:eastAsia="zh-CN"/>
              </w:rPr>
              <w:t>投标人</w:t>
            </w:r>
            <w:r>
              <w:rPr>
                <w:rFonts w:hint="eastAsia" w:ascii="宋体" w:hAnsi="宋体" w:eastAsia="宋体"/>
                <w:color w:val="auto"/>
                <w:sz w:val="24"/>
                <w:szCs w:val="28"/>
                <w:highlight w:val="none"/>
              </w:rPr>
              <w:t>拟投入本项目的项目负责人进行评价：具备工程类</w:t>
            </w:r>
            <w:r>
              <w:rPr>
                <w:rFonts w:hint="eastAsia" w:ascii="宋体" w:hAnsi="宋体" w:eastAsia="宋体"/>
                <w:color w:val="auto"/>
                <w:sz w:val="24"/>
                <w:szCs w:val="28"/>
                <w:highlight w:val="none"/>
                <w:lang w:val="en-US" w:eastAsia="zh-CN"/>
              </w:rPr>
              <w:t>中级</w:t>
            </w:r>
            <w:r>
              <w:rPr>
                <w:rFonts w:hint="eastAsia" w:ascii="宋体" w:hAnsi="宋体" w:eastAsia="宋体"/>
                <w:color w:val="auto"/>
                <w:sz w:val="24"/>
                <w:szCs w:val="28"/>
                <w:highlight w:val="none"/>
              </w:rPr>
              <w:t>工程师职称的得</w:t>
            </w:r>
            <w:r>
              <w:rPr>
                <w:rFonts w:hint="eastAsia" w:ascii="宋体" w:hAnsi="宋体" w:eastAsia="宋体"/>
                <w:color w:val="auto"/>
                <w:sz w:val="24"/>
                <w:szCs w:val="28"/>
                <w:highlight w:val="none"/>
                <w:lang w:val="en-US" w:eastAsia="zh-CN"/>
              </w:rPr>
              <w:t>1</w:t>
            </w:r>
            <w:r>
              <w:rPr>
                <w:rFonts w:hint="eastAsia" w:ascii="宋体" w:hAnsi="宋体" w:eastAsia="宋体"/>
                <w:color w:val="auto"/>
                <w:sz w:val="24"/>
                <w:szCs w:val="28"/>
                <w:highlight w:val="none"/>
              </w:rPr>
              <w:t>分</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高级工程师职称的得3分。投标人须</w:t>
            </w:r>
            <w:r>
              <w:rPr>
                <w:rFonts w:hint="eastAsia" w:ascii="宋体" w:hAnsi="宋体" w:eastAsia="宋体"/>
                <w:color w:val="auto"/>
                <w:sz w:val="24"/>
                <w:szCs w:val="28"/>
                <w:highlight w:val="none"/>
                <w:lang w:val="en-US" w:eastAsia="zh-CN"/>
              </w:rPr>
              <w:t>完整</w:t>
            </w:r>
            <w:r>
              <w:rPr>
                <w:rFonts w:hint="eastAsia" w:ascii="宋体" w:hAnsi="宋体" w:eastAsia="宋体"/>
                <w:color w:val="auto"/>
                <w:sz w:val="24"/>
                <w:szCs w:val="28"/>
                <w:highlight w:val="none"/>
              </w:rPr>
              <w:t>提供</w:t>
            </w:r>
            <w:r>
              <w:rPr>
                <w:rFonts w:hint="eastAsia" w:ascii="宋体" w:hAnsi="宋体" w:eastAsia="宋体"/>
                <w:color w:val="auto"/>
                <w:sz w:val="24"/>
                <w:szCs w:val="28"/>
                <w:highlight w:val="none"/>
                <w:lang w:val="en-US" w:eastAsia="zh-CN"/>
              </w:rPr>
              <w:t>下述佐证材料，否则不得分：①</w:t>
            </w:r>
            <w:r>
              <w:rPr>
                <w:rFonts w:hint="eastAsia" w:ascii="宋体" w:hAnsi="宋体" w:eastAsia="宋体"/>
                <w:color w:val="auto"/>
                <w:sz w:val="24"/>
                <w:szCs w:val="28"/>
                <w:highlight w:val="none"/>
              </w:rPr>
              <w:t>项目负责人身份证及相关有效证书扫描件</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lang w:val="en-US" w:eastAsia="zh-CN"/>
              </w:rPr>
              <w:t>②</w:t>
            </w:r>
            <w:r>
              <w:rPr>
                <w:rFonts w:hint="eastAsia" w:ascii="宋体" w:hAnsi="宋体" w:eastAsia="宋体"/>
                <w:color w:val="auto"/>
                <w:sz w:val="24"/>
                <w:szCs w:val="28"/>
                <w:highlight w:val="none"/>
              </w:rPr>
              <w:t>提交投标文件截止时间前6个月（不含</w:t>
            </w:r>
            <w:r>
              <w:rPr>
                <w:rFonts w:hint="eastAsia" w:ascii="宋体" w:hAnsi="宋体" w:eastAsia="宋体"/>
                <w:color w:val="auto"/>
                <w:sz w:val="24"/>
                <w:szCs w:val="28"/>
                <w:highlight w:val="none"/>
                <w:lang w:val="en-US" w:eastAsia="zh-CN"/>
              </w:rPr>
              <w:t>开标</w:t>
            </w:r>
            <w:r>
              <w:rPr>
                <w:rFonts w:hint="eastAsia" w:ascii="宋体" w:hAnsi="宋体" w:eastAsia="宋体"/>
                <w:color w:val="auto"/>
                <w:sz w:val="24"/>
                <w:szCs w:val="28"/>
                <w:highlight w:val="none"/>
              </w:rPr>
              <w:t>当月）中任意一个月</w:t>
            </w:r>
            <w:r>
              <w:rPr>
                <w:rFonts w:hint="eastAsia" w:ascii="宋体" w:hAnsi="宋体" w:eastAsia="宋体"/>
                <w:color w:val="auto"/>
                <w:sz w:val="24"/>
                <w:szCs w:val="28"/>
                <w:highlight w:val="none"/>
                <w:lang w:val="en-US" w:eastAsia="zh-CN"/>
              </w:rPr>
              <w:t>由投标人</w:t>
            </w:r>
            <w:r>
              <w:rPr>
                <w:rFonts w:hint="eastAsia" w:ascii="宋体" w:hAnsi="宋体" w:eastAsia="宋体"/>
                <w:color w:val="auto"/>
                <w:sz w:val="24"/>
                <w:szCs w:val="28"/>
                <w:highlight w:val="none"/>
              </w:rPr>
              <w:t>为其缴交社保的证明</w:t>
            </w:r>
            <w:r>
              <w:rPr>
                <w:rFonts w:hint="eastAsia" w:ascii="宋体" w:hAnsi="宋体" w:eastAsia="宋体"/>
                <w:color w:val="auto"/>
                <w:sz w:val="24"/>
                <w:szCs w:val="28"/>
                <w:highlight w:val="none"/>
                <w:lang w:val="en-US" w:eastAsia="zh-CN"/>
              </w:rPr>
              <w:t>材料</w:t>
            </w:r>
            <w:r>
              <w:rPr>
                <w:rFonts w:hint="eastAsia" w:ascii="宋体" w:hAnsi="宋体" w:eastAsia="宋体"/>
                <w:color w:val="auto"/>
                <w:sz w:val="24"/>
                <w:szCs w:val="28"/>
                <w:highlight w:val="none"/>
              </w:rPr>
              <w:t>（因公司新成立，无法提供相关社保缴纳证明材料的，须提供相应的说明材料）</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职称专业以职称证书上的专业为准，若职称证书上未明确专业，以毕业证书上的专业为准。不满足或未</w:t>
            </w:r>
            <w:r>
              <w:rPr>
                <w:rFonts w:hint="eastAsia" w:ascii="宋体" w:hAnsi="宋体" w:eastAsia="宋体"/>
                <w:color w:val="auto"/>
                <w:sz w:val="24"/>
                <w:szCs w:val="28"/>
                <w:highlight w:val="none"/>
                <w:lang w:val="en-US" w:eastAsia="zh-CN"/>
              </w:rPr>
              <w:t>按要求</w:t>
            </w:r>
            <w:r>
              <w:rPr>
                <w:rFonts w:hint="eastAsia" w:ascii="宋体" w:hAnsi="宋体" w:eastAsia="宋体"/>
                <w:color w:val="auto"/>
                <w:sz w:val="24"/>
                <w:szCs w:val="28"/>
                <w:highlight w:val="none"/>
              </w:rPr>
              <w:t>提供不得分。</w:t>
            </w:r>
          </w:p>
        </w:tc>
      </w:tr>
      <w:tr w14:paraId="5A56A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E3C1A45">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07D56A98">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30E6D1D4">
            <w:pPr>
              <w:spacing w:line="360" w:lineRule="auto"/>
              <w:jc w:val="center"/>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是</w:t>
            </w:r>
          </w:p>
        </w:tc>
        <w:tc>
          <w:tcPr>
            <w:tcW w:w="6626" w:type="dxa"/>
            <w:shd w:val="clear" w:color="auto" w:fill="auto"/>
            <w:vAlign w:val="center"/>
          </w:tcPr>
          <w:p w14:paraId="471B6EFF">
            <w:pPr>
              <w:spacing w:line="360" w:lineRule="auto"/>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rPr>
              <w:t>根据</w:t>
            </w:r>
            <w:r>
              <w:rPr>
                <w:rFonts w:hint="eastAsia" w:ascii="宋体" w:hAnsi="宋体" w:eastAsia="宋体"/>
                <w:color w:val="auto"/>
                <w:sz w:val="24"/>
                <w:szCs w:val="28"/>
                <w:highlight w:val="none"/>
                <w:lang w:eastAsia="zh-CN"/>
              </w:rPr>
              <w:t>投标人</w:t>
            </w:r>
            <w:r>
              <w:rPr>
                <w:rFonts w:hint="eastAsia" w:ascii="宋体" w:hAnsi="宋体" w:eastAsia="宋体"/>
                <w:color w:val="auto"/>
                <w:sz w:val="24"/>
                <w:szCs w:val="28"/>
                <w:highlight w:val="none"/>
              </w:rPr>
              <w:t>拟投入本项目的</w:t>
            </w:r>
            <w:r>
              <w:rPr>
                <w:rFonts w:hint="eastAsia" w:ascii="宋体" w:hAnsi="宋体" w:eastAsia="宋体"/>
                <w:color w:val="auto"/>
                <w:sz w:val="24"/>
                <w:szCs w:val="28"/>
                <w:highlight w:val="none"/>
                <w:lang w:val="en-US" w:eastAsia="zh-CN"/>
              </w:rPr>
              <w:t>技术</w:t>
            </w:r>
            <w:r>
              <w:rPr>
                <w:rFonts w:hint="eastAsia" w:ascii="宋体" w:hAnsi="宋体" w:eastAsia="宋体"/>
                <w:color w:val="auto"/>
                <w:sz w:val="24"/>
                <w:szCs w:val="28"/>
                <w:highlight w:val="none"/>
              </w:rPr>
              <w:t>负责人进行评价：具备工程类</w:t>
            </w:r>
            <w:r>
              <w:rPr>
                <w:rFonts w:hint="eastAsia" w:ascii="宋体" w:hAnsi="宋体" w:eastAsia="宋体"/>
                <w:color w:val="auto"/>
                <w:sz w:val="24"/>
                <w:szCs w:val="28"/>
                <w:highlight w:val="none"/>
                <w:lang w:val="en-US" w:eastAsia="zh-CN"/>
              </w:rPr>
              <w:t>中级</w:t>
            </w:r>
            <w:r>
              <w:rPr>
                <w:rFonts w:hint="eastAsia" w:ascii="宋体" w:hAnsi="宋体" w:eastAsia="宋体"/>
                <w:color w:val="auto"/>
                <w:sz w:val="24"/>
                <w:szCs w:val="28"/>
                <w:highlight w:val="none"/>
              </w:rPr>
              <w:t>工程师职称的得</w:t>
            </w:r>
            <w:r>
              <w:rPr>
                <w:rFonts w:hint="eastAsia" w:ascii="宋体" w:hAnsi="宋体" w:eastAsia="宋体"/>
                <w:color w:val="auto"/>
                <w:sz w:val="24"/>
                <w:szCs w:val="28"/>
                <w:highlight w:val="none"/>
                <w:lang w:val="en-US" w:eastAsia="zh-CN"/>
              </w:rPr>
              <w:t>1</w:t>
            </w:r>
            <w:r>
              <w:rPr>
                <w:rFonts w:hint="eastAsia" w:ascii="宋体" w:hAnsi="宋体" w:eastAsia="宋体"/>
                <w:color w:val="auto"/>
                <w:sz w:val="24"/>
                <w:szCs w:val="28"/>
                <w:highlight w:val="none"/>
              </w:rPr>
              <w:t>分</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高级工程师职称的得3分。投标人须</w:t>
            </w:r>
            <w:r>
              <w:rPr>
                <w:rFonts w:hint="eastAsia" w:ascii="宋体" w:hAnsi="宋体" w:eastAsia="宋体"/>
                <w:color w:val="auto"/>
                <w:sz w:val="24"/>
                <w:szCs w:val="28"/>
                <w:highlight w:val="none"/>
                <w:lang w:val="en-US" w:eastAsia="zh-CN"/>
              </w:rPr>
              <w:t>完整</w:t>
            </w:r>
            <w:r>
              <w:rPr>
                <w:rFonts w:hint="eastAsia" w:ascii="宋体" w:hAnsi="宋体" w:eastAsia="宋体"/>
                <w:color w:val="auto"/>
                <w:sz w:val="24"/>
                <w:szCs w:val="28"/>
                <w:highlight w:val="none"/>
              </w:rPr>
              <w:t>提供</w:t>
            </w:r>
            <w:r>
              <w:rPr>
                <w:rFonts w:hint="eastAsia" w:ascii="宋体" w:hAnsi="宋体" w:eastAsia="宋体"/>
                <w:color w:val="auto"/>
                <w:sz w:val="24"/>
                <w:szCs w:val="28"/>
                <w:highlight w:val="none"/>
                <w:lang w:val="en-US" w:eastAsia="zh-CN"/>
              </w:rPr>
              <w:t>下述佐证材料，否则不得分：①</w:t>
            </w:r>
            <w:r>
              <w:rPr>
                <w:rFonts w:hint="eastAsia" w:ascii="宋体" w:hAnsi="宋体" w:eastAsia="宋体"/>
                <w:color w:val="auto"/>
                <w:sz w:val="24"/>
                <w:szCs w:val="28"/>
                <w:highlight w:val="none"/>
              </w:rPr>
              <w:t>项目</w:t>
            </w:r>
            <w:r>
              <w:rPr>
                <w:rFonts w:hint="eastAsia" w:ascii="宋体" w:hAnsi="宋体" w:eastAsia="宋体"/>
                <w:color w:val="auto"/>
                <w:sz w:val="24"/>
                <w:szCs w:val="28"/>
                <w:highlight w:val="none"/>
                <w:lang w:val="en-US" w:eastAsia="zh-CN"/>
              </w:rPr>
              <w:t>技术</w:t>
            </w:r>
            <w:r>
              <w:rPr>
                <w:rFonts w:hint="eastAsia" w:ascii="宋体" w:hAnsi="宋体" w:eastAsia="宋体"/>
                <w:color w:val="auto"/>
                <w:sz w:val="24"/>
                <w:szCs w:val="28"/>
                <w:highlight w:val="none"/>
              </w:rPr>
              <w:t>负责人身份证及相关有效证书扫描件</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lang w:val="en-US" w:eastAsia="zh-CN"/>
              </w:rPr>
              <w:t>②</w:t>
            </w:r>
            <w:r>
              <w:rPr>
                <w:rFonts w:hint="eastAsia" w:ascii="宋体" w:hAnsi="宋体" w:eastAsia="宋体"/>
                <w:color w:val="auto"/>
                <w:sz w:val="24"/>
                <w:szCs w:val="28"/>
                <w:highlight w:val="none"/>
              </w:rPr>
              <w:t>提交投标文件截止时间前6个月（不含</w:t>
            </w:r>
            <w:r>
              <w:rPr>
                <w:rFonts w:hint="eastAsia" w:ascii="宋体" w:hAnsi="宋体" w:eastAsia="宋体"/>
                <w:color w:val="auto"/>
                <w:sz w:val="24"/>
                <w:szCs w:val="28"/>
                <w:highlight w:val="none"/>
                <w:lang w:val="en-US" w:eastAsia="zh-CN"/>
              </w:rPr>
              <w:t>开标</w:t>
            </w:r>
            <w:r>
              <w:rPr>
                <w:rFonts w:hint="eastAsia" w:ascii="宋体" w:hAnsi="宋体" w:eastAsia="宋体"/>
                <w:color w:val="auto"/>
                <w:sz w:val="24"/>
                <w:szCs w:val="28"/>
                <w:highlight w:val="none"/>
              </w:rPr>
              <w:t>当月）中任意一个月</w:t>
            </w:r>
            <w:r>
              <w:rPr>
                <w:rFonts w:hint="eastAsia" w:ascii="宋体" w:hAnsi="宋体" w:eastAsia="宋体"/>
                <w:color w:val="auto"/>
                <w:sz w:val="24"/>
                <w:szCs w:val="28"/>
                <w:highlight w:val="none"/>
                <w:lang w:val="en-US" w:eastAsia="zh-CN"/>
              </w:rPr>
              <w:t>由投标人</w:t>
            </w:r>
            <w:r>
              <w:rPr>
                <w:rFonts w:hint="eastAsia" w:ascii="宋体" w:hAnsi="宋体" w:eastAsia="宋体"/>
                <w:color w:val="auto"/>
                <w:sz w:val="24"/>
                <w:szCs w:val="28"/>
                <w:highlight w:val="none"/>
              </w:rPr>
              <w:t>为其缴交社保的证明</w:t>
            </w:r>
            <w:r>
              <w:rPr>
                <w:rFonts w:hint="eastAsia" w:ascii="宋体" w:hAnsi="宋体" w:eastAsia="宋体"/>
                <w:color w:val="auto"/>
                <w:sz w:val="24"/>
                <w:szCs w:val="28"/>
                <w:highlight w:val="none"/>
                <w:lang w:val="en-US" w:eastAsia="zh-CN"/>
              </w:rPr>
              <w:t>材料</w:t>
            </w:r>
            <w:r>
              <w:rPr>
                <w:rFonts w:hint="eastAsia" w:ascii="宋体" w:hAnsi="宋体" w:eastAsia="宋体"/>
                <w:color w:val="auto"/>
                <w:sz w:val="24"/>
                <w:szCs w:val="28"/>
                <w:highlight w:val="none"/>
              </w:rPr>
              <w:t>（因公司新成立，无法提供相关社保缴纳证明材料的，须提供相应的说明材料）</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职称专业以职称证书上的专业为准，若职称证书上未明确专业，以毕业证书上的专业为准。不满足或未</w:t>
            </w:r>
            <w:r>
              <w:rPr>
                <w:rFonts w:hint="eastAsia" w:ascii="宋体" w:hAnsi="宋体" w:eastAsia="宋体"/>
                <w:color w:val="auto"/>
                <w:sz w:val="24"/>
                <w:szCs w:val="28"/>
                <w:highlight w:val="none"/>
                <w:lang w:val="en-US" w:eastAsia="zh-CN"/>
              </w:rPr>
              <w:t>按要求</w:t>
            </w:r>
            <w:r>
              <w:rPr>
                <w:rFonts w:hint="eastAsia" w:ascii="宋体" w:hAnsi="宋体" w:eastAsia="宋体"/>
                <w:color w:val="auto"/>
                <w:sz w:val="24"/>
                <w:szCs w:val="28"/>
                <w:highlight w:val="none"/>
              </w:rPr>
              <w:t>提供不得分。</w:t>
            </w:r>
          </w:p>
        </w:tc>
      </w:tr>
      <w:tr w14:paraId="07603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E413D4F">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75FD84F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1267860D">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04481402">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val="en-US" w:eastAsia="zh-CN"/>
              </w:rPr>
              <w:t>投标人</w:t>
            </w:r>
            <w:r>
              <w:rPr>
                <w:rFonts w:hint="eastAsia" w:asciiTheme="minorEastAsia" w:hAnsiTheme="minorEastAsia"/>
                <w:color w:val="auto"/>
                <w:sz w:val="24"/>
                <w:szCs w:val="24"/>
                <w:highlight w:val="none"/>
              </w:rPr>
              <w:t>提供现场踏勘报告进行评价：①对项目现场情况、设施情况进行分析，提供各种现状的现场照片及文字说明的得2.</w:t>
            </w:r>
            <w:r>
              <w:rPr>
                <w:rFonts w:hint="eastAsia" w:asciiTheme="minorEastAsia" w:hAnsiTheme="minorEastAsia"/>
                <w:color w:val="auto"/>
                <w:sz w:val="24"/>
                <w:szCs w:val="24"/>
                <w:highlight w:val="none"/>
                <w:lang w:val="en-US" w:eastAsia="zh-CN"/>
              </w:rPr>
              <w:t>4</w:t>
            </w:r>
            <w:r>
              <w:rPr>
                <w:rFonts w:hint="eastAsia" w:asciiTheme="minorEastAsia" w:hAnsiTheme="minorEastAsia"/>
                <w:color w:val="auto"/>
                <w:sz w:val="24"/>
                <w:szCs w:val="24"/>
                <w:highlight w:val="none"/>
              </w:rPr>
              <w:t>分；②在满足①的基础上，对现场存在的问题描述到位，符合现场实际情况并提出相应解决措施，得3分；③未提供或不满足以上要求不得分。</w:t>
            </w:r>
          </w:p>
        </w:tc>
      </w:tr>
      <w:tr w14:paraId="7224B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D7DFB5F">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03B7EE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6519AEC6">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40333C5C">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val="en-US" w:eastAsia="zh-CN"/>
              </w:rPr>
              <w:t>投标人</w:t>
            </w:r>
            <w:r>
              <w:rPr>
                <w:rFonts w:hint="eastAsia" w:asciiTheme="minorEastAsia" w:hAnsiTheme="minorEastAsia"/>
                <w:color w:val="auto"/>
                <w:sz w:val="24"/>
                <w:szCs w:val="24"/>
                <w:highlight w:val="none"/>
              </w:rPr>
              <w:t>针对本项目提供的施工组织方法进行评价：①有提出施工组织方法，符合本项目要求的得2.</w:t>
            </w:r>
            <w:r>
              <w:rPr>
                <w:rFonts w:hint="eastAsia" w:asciiTheme="minorEastAsia" w:hAnsiTheme="minorEastAsia"/>
                <w:color w:val="auto"/>
                <w:sz w:val="24"/>
                <w:szCs w:val="24"/>
                <w:highlight w:val="none"/>
                <w:lang w:val="en-US" w:eastAsia="zh-CN"/>
              </w:rPr>
              <w:t>4</w:t>
            </w:r>
            <w:r>
              <w:rPr>
                <w:rFonts w:hint="eastAsia" w:asciiTheme="minorEastAsia" w:hAnsiTheme="minorEastAsia"/>
                <w:color w:val="auto"/>
                <w:sz w:val="24"/>
                <w:szCs w:val="24"/>
                <w:highlight w:val="none"/>
              </w:rPr>
              <w:t>分；②在满足①的基础上，施工组织方法标准、规范，列出施工的重难点，施工方法使本次施工达到设计要求的得3分；③未提供方案且方案不合理的不得分。</w:t>
            </w:r>
          </w:p>
        </w:tc>
      </w:tr>
      <w:tr w14:paraId="2F354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626A585">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08C9DD00">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172F7027">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022AB372">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eastAsia="zh-CN"/>
              </w:rPr>
              <w:t>投标人</w:t>
            </w:r>
            <w:r>
              <w:rPr>
                <w:rFonts w:hint="eastAsia" w:asciiTheme="minorEastAsia" w:hAnsiTheme="minorEastAsia"/>
                <w:color w:val="auto"/>
                <w:sz w:val="24"/>
                <w:szCs w:val="24"/>
                <w:highlight w:val="none"/>
              </w:rPr>
              <w:t>提供的主要物资（材料）进场安排进行评价：① 有根据本项目施工进度计划，制定相应的物资材料采购计划 ,进场时间顺序安排合理，能够满足施工进度的得2.</w:t>
            </w:r>
            <w:r>
              <w:rPr>
                <w:rFonts w:hint="eastAsia" w:asciiTheme="minorEastAsia" w:hAnsiTheme="minorEastAsia"/>
                <w:color w:val="auto"/>
                <w:sz w:val="24"/>
                <w:szCs w:val="24"/>
                <w:highlight w:val="none"/>
                <w:lang w:val="en-US" w:eastAsia="zh-CN"/>
              </w:rPr>
              <w:t>4</w:t>
            </w:r>
            <w:r>
              <w:rPr>
                <w:rFonts w:hint="eastAsia" w:asciiTheme="minorEastAsia" w:hAnsiTheme="minorEastAsia"/>
                <w:color w:val="auto"/>
                <w:sz w:val="24"/>
                <w:szCs w:val="24"/>
                <w:highlight w:val="none"/>
              </w:rPr>
              <w:t>分；②在满足①的基础上，有结合现场实际，考虑物资材料堆放、加工地点、施工进度，合理安排进场时间，确保不会占用其他场地，确保现场不会混杂凌乱的得3分。③未提供或不符合上述要求的不得分。</w:t>
            </w:r>
          </w:p>
        </w:tc>
      </w:tr>
      <w:tr w14:paraId="576C0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628CB49">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3196A48D">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156BA3F1">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127DEA78">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eastAsia="zh-CN"/>
              </w:rPr>
              <w:t>投标人</w:t>
            </w:r>
            <w:r>
              <w:rPr>
                <w:rFonts w:hint="eastAsia" w:asciiTheme="minorEastAsia" w:hAnsiTheme="minorEastAsia"/>
                <w:color w:val="auto"/>
                <w:sz w:val="24"/>
                <w:szCs w:val="24"/>
                <w:highlight w:val="none"/>
              </w:rPr>
              <w:t>提供的施工进度表或工期网络计划进行评价：① 有根据本项目工期要求，制定施工进度表或工期网络计划，各分部工程进度安排合理有序，能够确保按期完工的得</w:t>
            </w:r>
            <w:r>
              <w:rPr>
                <w:rFonts w:hint="eastAsia" w:asciiTheme="minorEastAsia" w:hAnsiTheme="minorEastAsia"/>
                <w:color w:val="auto"/>
                <w:sz w:val="24"/>
                <w:szCs w:val="24"/>
                <w:highlight w:val="none"/>
                <w:lang w:val="en-US" w:eastAsia="zh-CN"/>
              </w:rPr>
              <w:t>1.4</w:t>
            </w:r>
            <w:r>
              <w:rPr>
                <w:rFonts w:hint="eastAsia" w:asciiTheme="minorEastAsia" w:hAnsiTheme="minorEastAsia"/>
                <w:color w:val="auto"/>
                <w:sz w:val="24"/>
                <w:szCs w:val="24"/>
                <w:highlight w:val="none"/>
              </w:rPr>
              <w:t>分；②在满足①的基础上，有考虑各工序间的衔接，突发意外情况 （如台风、停水停电等情况）的停工及赶工，并制定相应的工期保障及赶工计划得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分。③未提供或不符合上述要求的不得分。</w:t>
            </w:r>
          </w:p>
        </w:tc>
      </w:tr>
      <w:tr w14:paraId="27BDD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FCFFADD">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234D4513">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018EBC5C">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3BE9C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val="en-US" w:eastAsia="zh-CN"/>
              </w:rPr>
              <w:t>投标人</w:t>
            </w:r>
            <w:r>
              <w:rPr>
                <w:rFonts w:hint="eastAsia" w:asciiTheme="minorEastAsia" w:hAnsiTheme="minorEastAsia"/>
                <w:color w:val="auto"/>
                <w:sz w:val="24"/>
                <w:szCs w:val="24"/>
                <w:highlight w:val="none"/>
              </w:rPr>
              <w:t>提供的现场施工中遇到突发事件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防</w:t>
            </w:r>
            <w:r>
              <w:rPr>
                <w:rFonts w:hint="eastAsia" w:asciiTheme="minorEastAsia" w:hAnsiTheme="minorEastAsia"/>
                <w:color w:val="auto"/>
                <w:sz w:val="24"/>
                <w:szCs w:val="24"/>
                <w:highlight w:val="none"/>
              </w:rPr>
              <w:t>台风、</w:t>
            </w:r>
            <w:r>
              <w:rPr>
                <w:rFonts w:hint="eastAsia" w:asciiTheme="minorEastAsia" w:hAnsiTheme="minorEastAsia"/>
                <w:color w:val="auto"/>
                <w:sz w:val="24"/>
                <w:szCs w:val="24"/>
                <w:highlight w:val="none"/>
                <w:lang w:val="en-US" w:eastAsia="zh-CN"/>
              </w:rPr>
              <w:t>防</w:t>
            </w:r>
            <w:r>
              <w:rPr>
                <w:rFonts w:hint="eastAsia" w:asciiTheme="minorEastAsia" w:hAnsiTheme="minorEastAsia"/>
                <w:color w:val="auto"/>
                <w:sz w:val="24"/>
                <w:szCs w:val="24"/>
                <w:highlight w:val="none"/>
              </w:rPr>
              <w:t>暴雨、</w:t>
            </w:r>
            <w:r>
              <w:rPr>
                <w:rFonts w:hint="eastAsia" w:asciiTheme="minorEastAsia" w:hAnsiTheme="minorEastAsia"/>
                <w:color w:val="auto"/>
                <w:sz w:val="24"/>
                <w:szCs w:val="24"/>
                <w:highlight w:val="none"/>
                <w:lang w:val="en-US" w:eastAsia="zh-CN"/>
              </w:rPr>
              <w:t>防汛</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的应急措施进行评价：①有提供应急措施，措施能降低事件风险的得</w:t>
            </w:r>
            <w:r>
              <w:rPr>
                <w:rFonts w:hint="eastAsia" w:asciiTheme="minorEastAsia" w:hAnsiTheme="minorEastAsia"/>
                <w:color w:val="auto"/>
                <w:sz w:val="24"/>
                <w:szCs w:val="24"/>
                <w:highlight w:val="none"/>
                <w:lang w:val="en-US" w:eastAsia="zh-CN"/>
              </w:rPr>
              <w:t>1</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val="en-US" w:eastAsia="zh-CN"/>
              </w:rPr>
              <w:t>4</w:t>
            </w:r>
            <w:r>
              <w:rPr>
                <w:rFonts w:hint="eastAsia" w:asciiTheme="minorEastAsia" w:hAnsiTheme="minorEastAsia"/>
                <w:color w:val="auto"/>
                <w:sz w:val="24"/>
                <w:szCs w:val="24"/>
                <w:highlight w:val="none"/>
              </w:rPr>
              <w:t>分；②在满足①的基础上，针对本项目所涉及突发、应急事件等制定相应的工期保障及赶工计划，事件能得到有效控制的得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分；③未提供相关方案阐述或方案阐述内容不符合上述标准的不得分。</w:t>
            </w:r>
          </w:p>
        </w:tc>
      </w:tr>
    </w:tbl>
    <w:p w14:paraId="1D502E8F">
      <w:pPr>
        <w:pStyle w:val="54"/>
        <w:widowControl w:val="0"/>
        <w:spacing w:line="360" w:lineRule="auto"/>
        <w:rPr>
          <w:rFonts w:hint="default" w:asciiTheme="minorEastAsia" w:hAnsiTheme="minorEastAsia"/>
          <w:color w:val="auto"/>
          <w:sz w:val="24"/>
          <w:szCs w:val="24"/>
          <w:highlight w:val="none"/>
        </w:rPr>
      </w:pPr>
    </w:p>
    <w:p w14:paraId="25B3F438">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商务项（F3×A3）满分为15.00分</w:t>
      </w:r>
    </w:p>
    <w:tbl>
      <w:tblPr>
        <w:tblStyle w:val="17"/>
        <w:tblW w:w="932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1"/>
        <w:gridCol w:w="1080"/>
        <w:gridCol w:w="1524"/>
        <w:gridCol w:w="5844"/>
      </w:tblGrid>
      <w:tr w14:paraId="2DB7C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vAlign w:val="center"/>
          </w:tcPr>
          <w:p w14:paraId="783DF67C">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1080" w:type="dxa"/>
            <w:vAlign w:val="center"/>
          </w:tcPr>
          <w:p w14:paraId="369B9183">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w:t>
            </w:r>
          </w:p>
        </w:tc>
        <w:tc>
          <w:tcPr>
            <w:tcW w:w="1524" w:type="dxa"/>
            <w:vAlign w:val="center"/>
          </w:tcPr>
          <w:p w14:paraId="67F085BA">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是否客观项</w:t>
            </w:r>
          </w:p>
        </w:tc>
        <w:tc>
          <w:tcPr>
            <w:tcW w:w="5844" w:type="dxa"/>
            <w:vAlign w:val="center"/>
          </w:tcPr>
          <w:p w14:paraId="41A16A8E">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描述</w:t>
            </w:r>
          </w:p>
        </w:tc>
      </w:tr>
      <w:tr w14:paraId="63882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vAlign w:val="center"/>
          </w:tcPr>
          <w:p w14:paraId="04AF3CC3">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1080" w:type="dxa"/>
            <w:shd w:val="clear" w:color="auto" w:fill="auto"/>
            <w:vAlign w:val="center"/>
          </w:tcPr>
          <w:p w14:paraId="1B54C16A">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1.00</w:t>
            </w:r>
          </w:p>
        </w:tc>
        <w:tc>
          <w:tcPr>
            <w:tcW w:w="1524" w:type="dxa"/>
            <w:shd w:val="clear" w:color="auto" w:fill="auto"/>
            <w:vAlign w:val="center"/>
          </w:tcPr>
          <w:p w14:paraId="23B4D0DF">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6F1699D9">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具有质量管理体系认证且在有效期内的得1分，须提供有效期内的认证证书扫描件，否则不得分。</w:t>
            </w:r>
          </w:p>
        </w:tc>
      </w:tr>
      <w:tr w14:paraId="2169E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09EA0008">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2-2</w:t>
            </w:r>
          </w:p>
        </w:tc>
        <w:tc>
          <w:tcPr>
            <w:tcW w:w="1080" w:type="dxa"/>
            <w:shd w:val="clear" w:color="auto" w:fill="auto"/>
            <w:vAlign w:val="center"/>
          </w:tcPr>
          <w:p w14:paraId="3AE9B7A3">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1.00</w:t>
            </w:r>
          </w:p>
        </w:tc>
        <w:tc>
          <w:tcPr>
            <w:tcW w:w="1524" w:type="dxa"/>
            <w:shd w:val="clear" w:color="auto" w:fill="auto"/>
            <w:vAlign w:val="center"/>
          </w:tcPr>
          <w:p w14:paraId="42C7D741">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158E2FF1">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具有环境管理体系认证且在有效期内的得1分，须提供有效期内的认证证书扫描件，否则不得分。</w:t>
            </w:r>
          </w:p>
        </w:tc>
      </w:tr>
      <w:tr w14:paraId="09205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65E98CF8">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2-3</w:t>
            </w:r>
          </w:p>
        </w:tc>
        <w:tc>
          <w:tcPr>
            <w:tcW w:w="1080" w:type="dxa"/>
            <w:shd w:val="clear" w:color="auto" w:fill="auto"/>
            <w:vAlign w:val="center"/>
          </w:tcPr>
          <w:p w14:paraId="1587EA34">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1.00</w:t>
            </w:r>
          </w:p>
        </w:tc>
        <w:tc>
          <w:tcPr>
            <w:tcW w:w="1524" w:type="dxa"/>
            <w:shd w:val="clear" w:color="auto" w:fill="auto"/>
            <w:vAlign w:val="center"/>
          </w:tcPr>
          <w:p w14:paraId="20DEA8E1">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5672EE9C">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具有职业健康安全管理体系认证且在有效期内的得1分，须提供有效期内的认证证书扫描件，否则不得分。</w:t>
            </w:r>
          </w:p>
        </w:tc>
      </w:tr>
      <w:tr w14:paraId="55C01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5ECBC6B3">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2-4</w:t>
            </w:r>
          </w:p>
        </w:tc>
        <w:tc>
          <w:tcPr>
            <w:tcW w:w="1080" w:type="dxa"/>
            <w:shd w:val="clear" w:color="auto" w:fill="auto"/>
            <w:vAlign w:val="center"/>
          </w:tcPr>
          <w:p w14:paraId="2B33EBEC">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1.00</w:t>
            </w:r>
          </w:p>
        </w:tc>
        <w:tc>
          <w:tcPr>
            <w:tcW w:w="1524" w:type="dxa"/>
            <w:shd w:val="clear" w:color="auto" w:fill="auto"/>
            <w:vAlign w:val="center"/>
          </w:tcPr>
          <w:p w14:paraId="0B54605A">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是</w:t>
            </w:r>
          </w:p>
        </w:tc>
        <w:tc>
          <w:tcPr>
            <w:tcW w:w="5844" w:type="dxa"/>
            <w:shd w:val="clear" w:color="auto" w:fill="auto"/>
            <w:vAlign w:val="top"/>
          </w:tcPr>
          <w:p w14:paraId="6C4B87EF">
            <w:pPr>
              <w:pStyle w:val="54"/>
              <w:jc w:val="left"/>
              <w:rPr>
                <w:rFonts w:hint="eastAsia" w:eastAsia="宋体" w:asciiTheme="minorEastAsia" w:hAnsiTheme="minorEastAsia" w:cstheme="minorEastAsia"/>
                <w:color w:val="auto"/>
                <w:sz w:val="24"/>
                <w:szCs w:val="24"/>
                <w:highlight w:val="none"/>
                <w:lang w:val="en-US" w:eastAsia="zh-CN" w:bidi="ar-SA"/>
              </w:rPr>
            </w:pPr>
            <w:r>
              <w:rPr>
                <w:rFonts w:hint="eastAsia" w:ascii="宋体" w:hAnsi="宋体" w:eastAsia="宋体" w:cs="宋体"/>
                <w:color w:val="auto"/>
                <w:sz w:val="24"/>
                <w:szCs w:val="24"/>
                <w:lang w:val="en-US" w:eastAsia="zh-CN"/>
              </w:rPr>
              <w:t>投标人具有</w:t>
            </w:r>
            <w:r>
              <w:rPr>
                <w:rFonts w:hint="eastAsia" w:ascii="宋体" w:hAnsi="宋体" w:eastAsia="宋体" w:cs="宋体"/>
                <w:color w:val="auto"/>
                <w:sz w:val="24"/>
                <w:szCs w:val="24"/>
              </w:rPr>
              <w:t>水工金属结构防腐蚀专业施工能力</w:t>
            </w:r>
            <w:r>
              <w:rPr>
                <w:rFonts w:hint="eastAsia" w:ascii="宋体" w:hAnsi="宋体" w:eastAsia="宋体" w:cs="宋体"/>
                <w:color w:val="auto"/>
                <w:sz w:val="24"/>
                <w:szCs w:val="24"/>
                <w:lang w:val="en-US" w:eastAsia="zh-CN"/>
              </w:rPr>
              <w:t>认证证书的得1分，</w:t>
            </w:r>
            <w:r>
              <w:rPr>
                <w:rFonts w:hint="eastAsia" w:asciiTheme="minorEastAsia" w:hAnsiTheme="minorEastAsia" w:eastAsiaTheme="minorEastAsia" w:cstheme="minorEastAsia"/>
                <w:color w:val="auto"/>
                <w:sz w:val="24"/>
                <w:szCs w:val="24"/>
                <w:highlight w:val="none"/>
              </w:rPr>
              <w:t>须提供有效期内的认证证书扫描件，否则不得分。</w:t>
            </w:r>
          </w:p>
        </w:tc>
      </w:tr>
      <w:tr w14:paraId="19066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00CD6B09">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2-5</w:t>
            </w:r>
          </w:p>
        </w:tc>
        <w:tc>
          <w:tcPr>
            <w:tcW w:w="1080" w:type="dxa"/>
            <w:shd w:val="clear" w:color="auto" w:fill="auto"/>
            <w:vAlign w:val="center"/>
          </w:tcPr>
          <w:p w14:paraId="43232E33">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3.00</w:t>
            </w:r>
          </w:p>
        </w:tc>
        <w:tc>
          <w:tcPr>
            <w:tcW w:w="1524" w:type="dxa"/>
            <w:shd w:val="clear" w:color="auto" w:fill="auto"/>
            <w:vAlign w:val="center"/>
          </w:tcPr>
          <w:p w14:paraId="2EC71170">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4DAA4D0C">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承诺</w:t>
            </w:r>
            <w:r>
              <w:rPr>
                <w:rFonts w:hint="eastAsia" w:asciiTheme="minorEastAsia" w:hAnsi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rPr>
              <w:t>后为投入本项目的施工人员购买意外险及雇主责任险（保险期限至少包含整个项目工期，且保额不低于150万元/人）的得3分。需提供承诺函（格式自拟），否则不得分。</w:t>
            </w:r>
          </w:p>
        </w:tc>
      </w:tr>
      <w:tr w14:paraId="26545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14C01B5C">
            <w:pPr>
              <w:pStyle w:val="54"/>
              <w:jc w:val="center"/>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2-6</w:t>
            </w:r>
          </w:p>
        </w:tc>
        <w:tc>
          <w:tcPr>
            <w:tcW w:w="1080" w:type="dxa"/>
            <w:shd w:val="clear" w:color="auto" w:fill="auto"/>
            <w:vAlign w:val="center"/>
          </w:tcPr>
          <w:p w14:paraId="15B6A392">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3.00</w:t>
            </w:r>
          </w:p>
        </w:tc>
        <w:tc>
          <w:tcPr>
            <w:tcW w:w="1524" w:type="dxa"/>
            <w:shd w:val="clear" w:color="auto" w:fill="auto"/>
            <w:vAlign w:val="center"/>
          </w:tcPr>
          <w:p w14:paraId="5D008441">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0E06AF98">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可提供本地化服务的得</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分，否则不得分。</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可提供合作单位协议或者自身机构的营业执照证明，也可以提供在项目所在地设立的项目部、办公室、办事处等机构证明，或者承诺成交后提供本地化服务。</w:t>
            </w:r>
          </w:p>
        </w:tc>
      </w:tr>
      <w:tr w14:paraId="1F641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11695A11">
            <w:pPr>
              <w:pStyle w:val="54"/>
              <w:jc w:val="center"/>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2-7</w:t>
            </w:r>
          </w:p>
        </w:tc>
        <w:tc>
          <w:tcPr>
            <w:tcW w:w="1080" w:type="dxa"/>
            <w:shd w:val="clear" w:color="auto" w:fill="auto"/>
            <w:vAlign w:val="center"/>
          </w:tcPr>
          <w:p w14:paraId="7B47470F">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.00</w:t>
            </w:r>
          </w:p>
        </w:tc>
        <w:tc>
          <w:tcPr>
            <w:tcW w:w="1524" w:type="dxa"/>
            <w:shd w:val="clear" w:color="auto" w:fill="auto"/>
            <w:vAlign w:val="center"/>
          </w:tcPr>
          <w:p w14:paraId="70597C37">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是</w:t>
            </w:r>
          </w:p>
        </w:tc>
        <w:tc>
          <w:tcPr>
            <w:tcW w:w="5844" w:type="dxa"/>
            <w:shd w:val="clear" w:color="auto" w:fill="auto"/>
            <w:vAlign w:val="top"/>
          </w:tcPr>
          <w:p w14:paraId="5C1B93E4">
            <w:pPr>
              <w:pStyle w:val="54"/>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根据投标人提供的售后维护的响应计划进行评价： （1）如设备遇到故障，投标人承诺能在1小时之内电话响应，4小时内赶到现场，12小时之内修复设备或是更换无法修复的设备得</w:t>
            </w:r>
            <w:r>
              <w:rPr>
                <w:rFonts w:hint="eastAsia" w:asciiTheme="minorEastAsia" w:hAnsiTheme="minorEastAsia" w:cstheme="minorEastAsia"/>
                <w:color w:val="auto"/>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bidi="ar-SA"/>
              </w:rPr>
              <w:t>分。（2）如设备遇到故障，投标人承诺能在1小时之内电话响应，2小时内赶到现场，8小时之内修复设备或是更换无法修复的设备得</w:t>
            </w:r>
            <w:r>
              <w:rPr>
                <w:rFonts w:hint="eastAsia" w:asciiTheme="minorEastAsia" w:hAnsiTheme="minorEastAsia" w:cstheme="minorEastAsia"/>
                <w:color w:val="auto"/>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bidi="ar-SA"/>
              </w:rPr>
              <w:t>分。其它情况得1分。注：投标人须提供售后承诺书，未提供不得分</w:t>
            </w:r>
          </w:p>
        </w:tc>
      </w:tr>
      <w:tr w14:paraId="0131B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vAlign w:val="center"/>
          </w:tcPr>
          <w:p w14:paraId="1CDD253E">
            <w:pPr>
              <w:pStyle w:val="54"/>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2-8</w:t>
            </w:r>
          </w:p>
        </w:tc>
        <w:tc>
          <w:tcPr>
            <w:tcW w:w="1080" w:type="dxa"/>
            <w:vAlign w:val="center"/>
          </w:tcPr>
          <w:p w14:paraId="12A703AE">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3.00</w:t>
            </w:r>
          </w:p>
        </w:tc>
        <w:tc>
          <w:tcPr>
            <w:tcW w:w="1524" w:type="dxa"/>
            <w:vAlign w:val="center"/>
          </w:tcPr>
          <w:p w14:paraId="771FB321">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w:t>
            </w:r>
          </w:p>
        </w:tc>
        <w:tc>
          <w:tcPr>
            <w:tcW w:w="5844" w:type="dxa"/>
          </w:tcPr>
          <w:p w14:paraId="58415656">
            <w:pPr>
              <w:pStyle w:val="54"/>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根据202</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年1月1日（以合同签订时间为准）以来的类似业绩进行评价：每个业绩得1分，满分3分。 注：（1）类似业绩是指：投标人</w:t>
            </w:r>
            <w:r>
              <w:rPr>
                <w:rFonts w:hint="eastAsia" w:asciiTheme="minorEastAsia" w:hAnsiTheme="minorEastAsia" w:cstheme="minorEastAsia"/>
                <w:color w:val="auto"/>
                <w:sz w:val="24"/>
                <w:szCs w:val="24"/>
                <w:highlight w:val="none"/>
                <w:lang w:val="en-US" w:eastAsia="zh-CN"/>
              </w:rPr>
              <w:t>所承接的水闸改建项目</w:t>
            </w:r>
            <w:r>
              <w:rPr>
                <w:rFonts w:hint="eastAsia" w:asciiTheme="minorEastAsia" w:hAnsiTheme="minorEastAsia" w:eastAsiaTheme="minorEastAsia" w:cstheme="minorEastAsia"/>
                <w:color w:val="auto"/>
                <w:sz w:val="24"/>
                <w:szCs w:val="24"/>
                <w:highlight w:val="none"/>
              </w:rPr>
              <w:t>的业绩。 （2）需提供业绩的以下四项证明材料，否则不计分： ①中标（成交）公告（提供相关网站中标（成交）公告的下载网页并注明网址）； ②中标（成交）通知书； ③采购合同文本； ④能够证明该业绩项目已经采购人验收合格的相关证明材料。（验收材料须加盖业绩对应采购人印章）</w:t>
            </w:r>
          </w:p>
        </w:tc>
      </w:tr>
    </w:tbl>
    <w:p w14:paraId="10560E54">
      <w:pPr>
        <w:pStyle w:val="54"/>
        <w:widowControl w:val="0"/>
        <w:spacing w:line="360" w:lineRule="auto"/>
        <w:rPr>
          <w:rFonts w:hint="default" w:asciiTheme="minorEastAsia" w:hAnsiTheme="minorEastAsia"/>
          <w:color w:val="auto"/>
          <w:sz w:val="24"/>
          <w:szCs w:val="24"/>
          <w:highlight w:val="none"/>
        </w:rPr>
      </w:pPr>
    </w:p>
    <w:p w14:paraId="7FDCF663">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（3）中标候选人排列规则顺序如下：</w:t>
      </w:r>
    </w:p>
    <w:p w14:paraId="49AB79E6">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a.按照评标总得分（FA）由高到低顺序排列。</w:t>
      </w:r>
    </w:p>
    <w:p w14:paraId="77FC37A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b.评标总得分（FA）相同的，按照评标价（即价格扣除后的投标报价）由低到高顺序排列。</w:t>
      </w:r>
    </w:p>
    <w:p w14:paraId="48990D8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c.评标总得分（FA）且评标价（即价格扣除后的投标报价）相同的并列。</w:t>
      </w:r>
    </w:p>
    <w:p w14:paraId="25BADCD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8、其他规定</w:t>
      </w:r>
    </w:p>
    <w:p w14:paraId="6509382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8.1评标应全程保密且不得透露给任一投标人或与评标工作无关的人员。</w:t>
      </w:r>
    </w:p>
    <w:p w14:paraId="33C10B09">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8.2评标将进行全程实时录音录像，录音录像资料随采购文件一并存档。</w:t>
      </w:r>
    </w:p>
    <w:p w14:paraId="14289D1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8.3若投标人有任何试图干扰具体评标事务，影响评标委员会独立履行职责的行为，其投标无效且不予退还投标保证金。情节严重的，由财政部门列入不良行为记录。</w:t>
      </w:r>
    </w:p>
    <w:p w14:paraId="7899CDC6">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8.4其他：无</w:t>
      </w:r>
    </w:p>
    <w:p w14:paraId="255D49BC">
      <w:pPr>
        <w:rPr>
          <w:color w:val="auto"/>
          <w:highlight w:val="none"/>
        </w:rPr>
        <w:sectPr>
          <w:pgSz w:w="11906" w:h="16838"/>
          <w:pgMar w:top="1418" w:right="1418" w:bottom="1418" w:left="1418" w:header="851" w:footer="992" w:gutter="0"/>
          <w:cols w:space="425" w:num="1"/>
          <w:docGrid w:type="lines" w:linePitch="312" w:charSpace="0"/>
        </w:sectPr>
      </w:pPr>
    </w:p>
    <w:p w14:paraId="3378E06C">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8" w:name="_Toc139103822"/>
      <w:r>
        <w:rPr>
          <w:rFonts w:ascii="黑体" w:hAnsi="黑体" w:eastAsia="黑体" w:cs="Times New Roman"/>
          <w:color w:val="auto"/>
          <w:kern w:val="0"/>
          <w:sz w:val="32"/>
          <w:szCs w:val="44"/>
          <w:highlight w:val="none"/>
        </w:rPr>
        <w:t>第五章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招标内容及要求</w:t>
      </w:r>
      <w:bookmarkEnd w:id="18"/>
    </w:p>
    <w:p w14:paraId="2321CF13">
      <w:pPr>
        <w:pStyle w:val="3"/>
        <w:spacing w:beforeLines="100" w:afterLines="100" w:line="240" w:lineRule="auto"/>
        <w:jc w:val="left"/>
        <w:rPr>
          <w:rFonts w:ascii="黑体" w:hAnsi="黑体" w:eastAsia="黑体" w:cs="Times New Roman"/>
          <w:color w:val="auto"/>
          <w:kern w:val="0"/>
          <w:sz w:val="30"/>
          <w:highlight w:val="none"/>
        </w:rPr>
      </w:pPr>
      <w:bookmarkStart w:id="19" w:name="_Toc139103823"/>
      <w:r>
        <w:rPr>
          <w:rFonts w:ascii="黑体" w:hAnsi="黑体" w:eastAsia="黑体" w:cs="Times New Roman"/>
          <w:color w:val="auto"/>
          <w:kern w:val="0"/>
          <w:sz w:val="30"/>
          <w:highlight w:val="none"/>
        </w:rPr>
        <w:t>一、项目概况（采购标的）</w:t>
      </w:r>
      <w:bookmarkEnd w:id="19"/>
    </w:p>
    <w:p w14:paraId="68F87A97">
      <w:pPr>
        <w:pStyle w:val="46"/>
        <w:numPr>
          <w:ilvl w:val="0"/>
          <w:numId w:val="2"/>
        </w:numPr>
        <w:spacing w:beforeLines="100" w:afterLines="100"/>
        <w:ind w:left="0" w:leftChars="0" w:firstLine="0"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项目概况</w:t>
      </w:r>
    </w:p>
    <w:p w14:paraId="27C5AF28">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rPr>
        <w:t>本项目为</w:t>
      </w:r>
      <w:r>
        <w:rPr>
          <w:rFonts w:hint="eastAsia" w:ascii="宋体" w:hAnsi="宋体" w:eastAsia="宋体"/>
          <w:b w:val="0"/>
          <w:bCs/>
          <w:color w:val="auto"/>
          <w:sz w:val="24"/>
          <w:szCs w:val="24"/>
          <w:highlight w:val="none"/>
          <w:lang w:eastAsia="zh-CN"/>
        </w:rPr>
        <w:t>厦门市同安区五显镇人民政府</w:t>
      </w:r>
      <w:r>
        <w:rPr>
          <w:rFonts w:hint="eastAsia" w:ascii="宋体" w:hAnsi="宋体" w:eastAsia="宋体"/>
          <w:b w:val="0"/>
          <w:bCs/>
          <w:color w:val="auto"/>
          <w:sz w:val="24"/>
          <w:szCs w:val="24"/>
          <w:highlight w:val="none"/>
        </w:rPr>
        <w:t>的</w:t>
      </w:r>
      <w:r>
        <w:rPr>
          <w:rFonts w:hint="eastAsia" w:ascii="宋体" w:hAnsi="宋体" w:eastAsia="宋体"/>
          <w:b w:val="0"/>
          <w:bCs/>
          <w:color w:val="auto"/>
          <w:sz w:val="24"/>
          <w:szCs w:val="24"/>
          <w:highlight w:val="none"/>
          <w:lang w:eastAsia="zh-CN"/>
        </w:rPr>
        <w:t>东溪布塘水闸重建工程</w:t>
      </w:r>
      <w:r>
        <w:rPr>
          <w:rFonts w:hint="eastAsia" w:ascii="宋体" w:hAnsi="宋体" w:eastAsia="宋体"/>
          <w:b w:val="0"/>
          <w:bCs/>
          <w:color w:val="auto"/>
          <w:sz w:val="24"/>
          <w:szCs w:val="24"/>
          <w:highlight w:val="none"/>
        </w:rPr>
        <w:t>项目，</w:t>
      </w:r>
      <w:r>
        <w:rPr>
          <w:rFonts w:hint="eastAsia" w:ascii="宋体" w:hAnsi="宋体" w:eastAsia="宋体"/>
          <w:b w:val="0"/>
          <w:bCs/>
          <w:color w:val="auto"/>
          <w:sz w:val="24"/>
          <w:szCs w:val="24"/>
          <w:highlight w:val="none"/>
          <w:lang w:val="en-US" w:eastAsia="zh-CN"/>
        </w:rPr>
        <w:t>拟确定1位中标人承接本项目。</w:t>
      </w:r>
    </w:p>
    <w:p w14:paraId="570E9690">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本次招标为整体采购的交钥匙项目。要求各投标人提供材料、设备、安装、施工等符合国家、行业相关标准，具备相应能力，并提供相应的完善配套服务。</w:t>
      </w:r>
    </w:p>
    <w:p w14:paraId="13F15D3E">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本项目提供附件施工图纸作为招标文件的组成部分，各投标人应详细阅读理解施工图纸，中标后按照图纸要求进行施工。因施工图纸未完全反应施工量，投标人应根据采购人的实际要求及现场踏勘结果进行报价，报价应包含所有遗漏项目的一切费用。中标后不再因任何原因进行调整。</w:t>
      </w:r>
    </w:p>
    <w:p w14:paraId="1CA47687">
      <w:pPr>
        <w:pStyle w:val="46"/>
        <w:numPr>
          <w:ilvl w:val="0"/>
          <w:numId w:val="2"/>
        </w:numPr>
        <w:spacing w:beforeLines="100" w:afterLines="100"/>
        <w:ind w:left="0" w:leftChars="0" w:firstLine="0" w:firstLineChars="0"/>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采购清单</w:t>
      </w:r>
    </w:p>
    <w:p w14:paraId="46780F87">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设备部分清单</w:t>
      </w:r>
    </w:p>
    <w:tbl>
      <w:tblPr>
        <w:tblStyle w:val="17"/>
        <w:tblW w:w="88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1209"/>
        <w:gridCol w:w="5548"/>
        <w:gridCol w:w="591"/>
        <w:gridCol w:w="963"/>
      </w:tblGrid>
      <w:tr w14:paraId="7AB5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950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2D9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 称</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EBF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主要技术要求</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A46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278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r>
      <w:tr w14:paraId="10A0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D486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一、水闸工程</w:t>
            </w:r>
          </w:p>
        </w:tc>
      </w:tr>
      <w:tr w14:paraId="2D28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E9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668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翻板闸</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406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1.尺寸：54.0m宽×1.5m高，驱动装置：YJQ-2X800KN-2.5m，驱动装置功率：2X15KW，电气控制柜1800×800×600，液压启闭器YJQ-2x800KN-2.5m（含门叶、底轴、支铰座、穿墙套、拐臂、底止水、侧止水、搁门器）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3E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82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r>
      <w:tr w14:paraId="5CA6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BBB89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二、电气工程</w:t>
            </w:r>
          </w:p>
        </w:tc>
      </w:tr>
      <w:tr w14:paraId="66D5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28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7D5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22A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1.名称:液压泵电源线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2.型号:YJV-0.6/1kV,5x16</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E9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36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143.50 </w:t>
            </w:r>
          </w:p>
        </w:tc>
      </w:tr>
      <w:tr w14:paraId="51543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7B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8E5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461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1.名称:外电线缆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2.型号:YJV22-15/8.7KV-3*70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C8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49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512.50 </w:t>
            </w:r>
          </w:p>
        </w:tc>
      </w:tr>
      <w:tr w14:paraId="1EE4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F9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BA9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15A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1.型号:YJV-0.6/1-3x2.5mm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84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C2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77.90 </w:t>
            </w:r>
          </w:p>
        </w:tc>
      </w:tr>
      <w:tr w14:paraId="6BBC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5B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325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90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1.名称:液压泵馈信号线、堰门反馈信号线 KVVP-7*1.0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7F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8F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287.00 </w:t>
            </w:r>
          </w:p>
        </w:tc>
      </w:tr>
      <w:tr w14:paraId="1B4A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54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4EB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59A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1.名称:液位计信号线 DJYVP-2x2x1.0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23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F3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61.50 </w:t>
            </w:r>
          </w:p>
        </w:tc>
      </w:tr>
      <w:tr w14:paraId="3A0E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3C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05E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CED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1.名称:摄像头信号线 UTP6+RVV2*1.5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9B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CB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153.75</w:t>
            </w:r>
          </w:p>
        </w:tc>
      </w:tr>
      <w:tr w14:paraId="61373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10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1B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AE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1.名称:SC管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2.规格:SC50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A3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37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140.00 </w:t>
            </w:r>
          </w:p>
        </w:tc>
      </w:tr>
      <w:tr w14:paraId="1389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91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7B7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E58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1.名称:SC管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2.规格:SC25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67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A9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430.00 </w:t>
            </w:r>
          </w:p>
        </w:tc>
      </w:tr>
      <w:tr w14:paraId="7F2D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5D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51D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21B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1.名称:SC管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2.规格:SC20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8C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A4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76.00 </w:t>
            </w:r>
          </w:p>
        </w:tc>
      </w:tr>
      <w:tr w14:paraId="139F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52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AA8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B13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1.名称:聚丙乙烯波纹管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2.规格:DN150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40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27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w:t>
            </w:r>
          </w:p>
        </w:tc>
      </w:tr>
      <w:tr w14:paraId="6582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80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A9A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C00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1.名称:PVC管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2.规格:DN25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1E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48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79BB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79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EB8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干式变压器</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68C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1.名称:室外箱变 D/Yn11-10/0.4 Uk=4%,S20-M-100kVA,304不锈钢,IP33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48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54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489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FA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972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负控终端</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84B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1.负控终端 AC220V</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8B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81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5F5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CE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4B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UPS</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A41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1.UPS AC220V,在线式,1000VA,2h</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9B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78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B51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D4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AE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10kV电缆头</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699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1.10kV电缆头 户外冷缩适用于3x70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70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4C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6EFD4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C4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12B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标志牌</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B7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1.电缆名牌 PVC.50x90cm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E8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E7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r>
      <w:tr w14:paraId="4288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64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DC0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接地母线</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0AB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1.名称:接地扁钢 热镀锌,50*5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71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BE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870</w:t>
            </w:r>
          </w:p>
        </w:tc>
      </w:tr>
      <w:tr w14:paraId="6689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7A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258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接地极</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AC1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1.名称:垂直接地体 φ25x2500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31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1B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14:paraId="4883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6D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B3F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接地装置调试</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A04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1.接地系统调试 接地网</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95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68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5C9B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E3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C96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照明开关</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95D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1.名称:单级开关 250V,10A</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0C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84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67B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4A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963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景观照明灯</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977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1.名称:防水壁灯 LED,9W,C025PXYA、防水型IP54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D8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19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7421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ED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1CF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液位计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16B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1.名称:超声波液位计 L=O~10m,4~20mA输出220VAC供电,防护等级IP68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81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C1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5171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4F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255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监控摄像机</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138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1.类型:网络高清摄像机 200万像素,分辨率:1920*1080（含摄像头安装支架、杆件 不锈钢等）</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F6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35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0849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29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A77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916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1.名称:监控箱 不锈钢,IP65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DA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E6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2E36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FE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D96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避雷器</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5C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1.电源网络二合一避雷器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F6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80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73D1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46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00D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电缆上杆保护管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5F6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1.电缆上杆保护管 φ100x2500（含抱箍 φ100、电缆上杆抱箍）</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7B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41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E88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96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89A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UPS</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6D6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1.3KVA,60min</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BF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77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52F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BC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B64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模块</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EC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1.SCADA远程通信模块 GPRS无线发送模块</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2B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CE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FEC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AD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167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交换机</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942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1.工业交换机(路由器) 8口</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21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38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4E23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9E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C19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转换器</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88A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1.光纤及光电转换器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6A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23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A9F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60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3CC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SIM卡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8CD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1.SIM卡 GPRS数据流量5G/month(数据卡)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1E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60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E5F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59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14C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光缆</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4CD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1.单模6芯,铠装</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06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65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14:paraId="51F5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77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F99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录像机</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78D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1.8路硬盘录像机 2盘位,8T硬盘2块</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9D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8C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44BC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A8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95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配管</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E57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1.名称:CPVC管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2.规格:DN32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C3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8F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14:paraId="277F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2E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9E1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防火墙</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DB2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1.防火墙</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19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A3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349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A6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8B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软件</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31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1.闸室控制管理软件</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4A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66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189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EC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21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控制器</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C6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1.PLC 可编程控制器 DI=32 DO=16 AI=8 AO=0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70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8E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7E5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D9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C6E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箱变围网</w:t>
            </w:r>
          </w:p>
        </w:tc>
        <w:tc>
          <w:tcPr>
            <w:tcW w:w="5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B23E">
            <w:pPr>
              <w:jc w:val="left"/>
              <w:rPr>
                <w:rFonts w:hint="eastAsia" w:ascii="宋体" w:hAnsi="宋体" w:eastAsia="宋体" w:cs="宋体"/>
                <w:i w:val="0"/>
                <w:iCs w:val="0"/>
                <w:color w:val="auto"/>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5D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0B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bl>
    <w:p w14:paraId="5AC76703">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土建部分清单：具体详见本招标文件所提供附件《工程量清单》。</w:t>
      </w:r>
    </w:p>
    <w:p w14:paraId="1A0425DA">
      <w:pPr>
        <w:pStyle w:val="3"/>
        <w:spacing w:beforeLines="100" w:afterLines="100" w:line="240" w:lineRule="auto"/>
        <w:jc w:val="left"/>
        <w:rPr>
          <w:rFonts w:ascii="黑体" w:hAnsi="黑体" w:eastAsia="黑体" w:cs="Times New Roman"/>
          <w:color w:val="auto"/>
          <w:kern w:val="0"/>
          <w:sz w:val="30"/>
          <w:highlight w:val="none"/>
        </w:rPr>
      </w:pPr>
      <w:bookmarkStart w:id="20" w:name="_Toc139103824"/>
      <w:r>
        <w:rPr>
          <w:rFonts w:ascii="黑体" w:hAnsi="黑体" w:eastAsia="黑体" w:cs="Times New Roman"/>
          <w:color w:val="auto"/>
          <w:kern w:val="0"/>
          <w:sz w:val="30"/>
          <w:highlight w:val="none"/>
        </w:rPr>
        <w:t>二、技术和服务要求</w:t>
      </w:r>
      <w:bookmarkEnd w:id="20"/>
    </w:p>
    <w:p w14:paraId="5E027ABD">
      <w:pPr>
        <w:rPr>
          <w:rFonts w:asciiTheme="minorEastAsia" w:hAnsiTheme="minorEastAsia"/>
          <w:color w:val="auto"/>
          <w:sz w:val="28"/>
          <w:szCs w:val="28"/>
          <w:highlight w:val="none"/>
        </w:rPr>
      </w:pPr>
      <w:r>
        <w:rPr>
          <w:rFonts w:asciiTheme="minorEastAsia" w:hAnsiTheme="minorEastAsia"/>
          <w:color w:val="auto"/>
          <w:sz w:val="28"/>
          <w:szCs w:val="28"/>
          <w:highlight w:val="none"/>
        </w:rPr>
        <w:t>（以“</w:t>
      </w:r>
      <w:r>
        <w:rPr>
          <w:rFonts w:hint="eastAsia" w:cs="宋体" w:asciiTheme="minorEastAsia" w:hAnsiTheme="minorEastAsia"/>
          <w:color w:val="auto"/>
          <w:sz w:val="28"/>
          <w:szCs w:val="28"/>
          <w:highlight w:val="none"/>
        </w:rPr>
        <w:t>★</w:t>
      </w:r>
      <w:r>
        <w:rPr>
          <w:rFonts w:cs="Calibri" w:asciiTheme="minorEastAsia" w:hAnsiTheme="minorEastAsia"/>
          <w:color w:val="auto"/>
          <w:sz w:val="28"/>
          <w:szCs w:val="28"/>
          <w:highlight w:val="none"/>
        </w:rPr>
        <w:t>”</w:t>
      </w:r>
      <w:r>
        <w:rPr>
          <w:rFonts w:asciiTheme="minorEastAsia" w:hAnsiTheme="minorEastAsia"/>
          <w:color w:val="auto"/>
          <w:sz w:val="28"/>
          <w:szCs w:val="28"/>
          <w:highlight w:val="none"/>
        </w:rPr>
        <w:t>标示的内容为不允许负偏离的实质性要求）</w:t>
      </w:r>
    </w:p>
    <w:p w14:paraId="4C6D8453">
      <w:pPr>
        <w:pStyle w:val="46"/>
        <w:numPr>
          <w:ilvl w:val="0"/>
          <w:numId w:val="2"/>
        </w:numPr>
        <w:spacing w:beforeLines="100" w:afterLines="100"/>
        <w:ind w:left="0" w:leftChars="0" w:firstLine="0"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lang w:val="en-US" w:eastAsia="zh-CN"/>
        </w:rPr>
        <w:t>产品</w:t>
      </w:r>
      <w:r>
        <w:rPr>
          <w:rFonts w:hint="eastAsia" w:ascii="宋体" w:hAnsi="宋体" w:eastAsia="宋体"/>
          <w:b/>
          <w:color w:val="auto"/>
          <w:sz w:val="28"/>
          <w:szCs w:val="28"/>
          <w:highlight w:val="none"/>
        </w:rPr>
        <w:t>技术参数要求</w:t>
      </w:r>
    </w:p>
    <w:p w14:paraId="7B6D73F7">
      <w:pPr>
        <w:pStyle w:val="46"/>
        <w:numPr>
          <w:ilvl w:val="1"/>
          <w:numId w:val="2"/>
        </w:numPr>
        <w:tabs>
          <w:tab w:val="left" w:pos="993"/>
        </w:tabs>
        <w:spacing w:line="360" w:lineRule="auto"/>
        <w:ind w:left="0" w:leftChars="0" w:firstLine="425" w:firstLineChars="0"/>
        <w:rPr>
          <w:rFonts w:hint="default" w:ascii="宋体" w:hAnsi="宋体" w:eastAsia="宋体"/>
          <w:color w:val="auto"/>
          <w:sz w:val="24"/>
          <w:szCs w:val="28"/>
          <w:highlight w:val="none"/>
          <w:lang w:val="en-US" w:eastAsia="zh-CN"/>
        </w:rPr>
      </w:pPr>
      <w:r>
        <w:rPr>
          <w:rFonts w:hint="default" w:ascii="宋体" w:hAnsi="宋体" w:eastAsia="宋体"/>
          <w:color w:val="auto"/>
          <w:sz w:val="24"/>
          <w:szCs w:val="28"/>
          <w:highlight w:val="none"/>
          <w:lang w:val="en-US" w:eastAsia="zh-CN"/>
        </w:rPr>
        <w:t>闸门组成材料</w:t>
      </w:r>
      <w:r>
        <w:rPr>
          <w:rFonts w:hint="eastAsia" w:ascii="宋体" w:hAnsi="宋体" w:eastAsia="宋体"/>
          <w:color w:val="auto"/>
          <w:sz w:val="24"/>
          <w:szCs w:val="28"/>
          <w:highlight w:val="none"/>
          <w:lang w:val="en-US" w:eastAsia="zh-CN"/>
        </w:rPr>
        <w:t>：</w:t>
      </w:r>
      <w:r>
        <w:rPr>
          <w:rFonts w:hint="default" w:ascii="宋体" w:hAnsi="宋体" w:eastAsia="宋体"/>
          <w:color w:val="auto"/>
          <w:sz w:val="24"/>
          <w:szCs w:val="28"/>
          <w:highlight w:val="none"/>
          <w:lang w:val="en-US" w:eastAsia="zh-CN"/>
        </w:rPr>
        <w:t>钢坝闸采用钢结构门体，包括:门叶结构、支结构、底轴、支铰装置、穿墙防水套和止水。</w:t>
      </w:r>
    </w:p>
    <w:p w14:paraId="412AE7E6">
      <w:pPr>
        <w:pStyle w:val="46"/>
        <w:numPr>
          <w:ilvl w:val="2"/>
          <w:numId w:val="2"/>
        </w:numPr>
        <w:tabs>
          <w:tab w:val="left" w:pos="993"/>
        </w:tabs>
        <w:spacing w:line="360" w:lineRule="auto"/>
        <w:ind w:left="0" w:leftChars="0" w:firstLine="709" w:firstLineChars="0"/>
        <w:rPr>
          <w:rFonts w:hint="default" w:ascii="宋体" w:hAnsi="宋体" w:eastAsia="宋体"/>
          <w:color w:val="auto"/>
          <w:sz w:val="24"/>
          <w:szCs w:val="28"/>
          <w:highlight w:val="none"/>
          <w:lang w:val="en-US" w:eastAsia="zh-CN"/>
        </w:rPr>
      </w:pPr>
      <w:r>
        <w:rPr>
          <w:rFonts w:hint="default" w:ascii="宋体" w:hAnsi="宋体" w:eastAsia="宋体"/>
          <w:color w:val="auto"/>
          <w:sz w:val="24"/>
          <w:szCs w:val="28"/>
          <w:highlight w:val="none"/>
          <w:lang w:val="en-US" w:eastAsia="zh-CN"/>
        </w:rPr>
        <w:t>止水橡皮</w:t>
      </w:r>
      <w:r>
        <w:rPr>
          <w:rFonts w:hint="eastAsia" w:ascii="宋体" w:hAnsi="宋体" w:eastAsia="宋体"/>
          <w:color w:val="auto"/>
          <w:sz w:val="24"/>
          <w:szCs w:val="28"/>
          <w:highlight w:val="none"/>
          <w:lang w:val="en-US" w:eastAsia="zh-CN"/>
        </w:rPr>
        <w:t>：</w:t>
      </w:r>
      <w:r>
        <w:rPr>
          <w:rFonts w:hint="default" w:ascii="宋体" w:hAnsi="宋体" w:eastAsia="宋体"/>
          <w:color w:val="auto"/>
          <w:sz w:val="24"/>
          <w:szCs w:val="28"/>
          <w:highlight w:val="none"/>
          <w:lang w:val="en-US" w:eastAsia="zh-CN"/>
        </w:rPr>
        <w:t>止水橡皮的物理机械性能应符合 GBT14173-2008 相关条文规定，止水橡皮成品的表面应光滑平整，尺寸符合图纸要求。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3388"/>
        <w:gridCol w:w="2686"/>
      </w:tblGrid>
      <w:tr w14:paraId="00C9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22047A73">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序号</w:t>
            </w:r>
          </w:p>
        </w:tc>
        <w:tc>
          <w:tcPr>
            <w:tcW w:w="3388" w:type="dxa"/>
            <w:noWrap w:val="0"/>
            <w:vAlign w:val="center"/>
          </w:tcPr>
          <w:p w14:paraId="7604F446">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指标名称</w:t>
            </w:r>
          </w:p>
        </w:tc>
        <w:tc>
          <w:tcPr>
            <w:tcW w:w="2686" w:type="dxa"/>
            <w:noWrap w:val="0"/>
            <w:vAlign w:val="center"/>
          </w:tcPr>
          <w:p w14:paraId="58EEFF91">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指标值</w:t>
            </w:r>
          </w:p>
        </w:tc>
      </w:tr>
      <w:tr w14:paraId="02AA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45769442">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3388" w:type="dxa"/>
            <w:noWrap w:val="0"/>
            <w:vAlign w:val="top"/>
          </w:tcPr>
          <w:p w14:paraId="20EE4364">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密度(g/</w:t>
            </w:r>
            <w:r>
              <w:rPr>
                <w:rFonts w:hint="eastAsia" w:asciiTheme="minorEastAsia" w:hAnsiTheme="minorEastAsia" w:eastAsiaTheme="minorEastAsia" w:cstheme="minorEastAsia"/>
                <w:color w:val="auto"/>
                <w:sz w:val="24"/>
                <w:szCs w:val="24"/>
                <w:highlight w:val="none"/>
                <w:vertAlign w:val="baseline"/>
                <w:lang w:val="en-US" w:eastAsia="zh-CN"/>
              </w:rPr>
              <w:t>cm</w:t>
            </w:r>
            <w:r>
              <w:rPr>
                <w:rFonts w:hint="eastAsia" w:asciiTheme="minorEastAsia" w:hAnsiTheme="minorEastAsia" w:eastAsiaTheme="minorEastAsia" w:cstheme="minorEastAsia"/>
                <w:color w:val="auto"/>
                <w:sz w:val="24"/>
                <w:szCs w:val="24"/>
                <w:highlight w:val="none"/>
                <w:vertAlign w:val="superscript"/>
                <w:lang w:val="en-US" w:eastAsia="zh-CN"/>
              </w:rPr>
              <w:t>3</w:t>
            </w:r>
            <w:r>
              <w:rPr>
                <w:rFonts w:hint="eastAsia" w:asciiTheme="minorEastAsia" w:hAnsiTheme="minorEastAsia" w:eastAsiaTheme="minorEastAsia" w:cstheme="minorEastAsia"/>
                <w:color w:val="auto"/>
                <w:sz w:val="24"/>
                <w:szCs w:val="24"/>
                <w:highlight w:val="none"/>
                <w:vertAlign w:val="baseline"/>
              </w:rPr>
              <w:t>)</w:t>
            </w:r>
          </w:p>
        </w:tc>
        <w:tc>
          <w:tcPr>
            <w:tcW w:w="2686" w:type="dxa"/>
            <w:noWrap w:val="0"/>
            <w:vAlign w:val="center"/>
          </w:tcPr>
          <w:p w14:paraId="56B75C60">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1.2~1.5</w:t>
            </w:r>
          </w:p>
        </w:tc>
      </w:tr>
      <w:tr w14:paraId="3F93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379E13A6">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3388" w:type="dxa"/>
            <w:noWrap w:val="0"/>
            <w:vAlign w:val="top"/>
          </w:tcPr>
          <w:p w14:paraId="0A2D2323">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新胶含量(%)</w:t>
            </w:r>
          </w:p>
        </w:tc>
        <w:tc>
          <w:tcPr>
            <w:tcW w:w="2686" w:type="dxa"/>
            <w:noWrap w:val="0"/>
            <w:vAlign w:val="center"/>
          </w:tcPr>
          <w:p w14:paraId="55AFF4A4">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≥70</w:t>
            </w:r>
          </w:p>
        </w:tc>
      </w:tr>
      <w:tr w14:paraId="5386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6ECC6C50">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w:t>
            </w:r>
          </w:p>
        </w:tc>
        <w:tc>
          <w:tcPr>
            <w:tcW w:w="3388" w:type="dxa"/>
            <w:noWrap w:val="0"/>
            <w:vAlign w:val="top"/>
          </w:tcPr>
          <w:p w14:paraId="7E9A0626">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抗拉强度(MPa)</w:t>
            </w:r>
          </w:p>
        </w:tc>
        <w:tc>
          <w:tcPr>
            <w:tcW w:w="2686" w:type="dxa"/>
            <w:noWrap w:val="0"/>
            <w:vAlign w:val="center"/>
          </w:tcPr>
          <w:p w14:paraId="56578D5C">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13~22</w:t>
            </w:r>
          </w:p>
        </w:tc>
      </w:tr>
      <w:tr w14:paraId="7B00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18186BF2">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w:t>
            </w:r>
          </w:p>
        </w:tc>
        <w:tc>
          <w:tcPr>
            <w:tcW w:w="3388" w:type="dxa"/>
            <w:noWrap w:val="0"/>
            <w:vAlign w:val="top"/>
          </w:tcPr>
          <w:p w14:paraId="6888B12B">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肖氏硬度(Hs)</w:t>
            </w:r>
          </w:p>
        </w:tc>
        <w:tc>
          <w:tcPr>
            <w:tcW w:w="2686" w:type="dxa"/>
            <w:noWrap w:val="0"/>
            <w:vAlign w:val="center"/>
          </w:tcPr>
          <w:p w14:paraId="72973CF1">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50~70</w:t>
            </w:r>
          </w:p>
        </w:tc>
      </w:tr>
      <w:tr w14:paraId="79BF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1DB10971">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w:t>
            </w:r>
          </w:p>
        </w:tc>
        <w:tc>
          <w:tcPr>
            <w:tcW w:w="3388" w:type="dxa"/>
            <w:noWrap w:val="0"/>
            <w:vAlign w:val="top"/>
          </w:tcPr>
          <w:p w14:paraId="23CAF03F">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延伸率(%)</w:t>
            </w:r>
          </w:p>
        </w:tc>
        <w:tc>
          <w:tcPr>
            <w:tcW w:w="2686" w:type="dxa"/>
            <w:noWrap w:val="0"/>
            <w:vAlign w:val="center"/>
          </w:tcPr>
          <w:p w14:paraId="1EE38BE9">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400~500</w:t>
            </w:r>
          </w:p>
        </w:tc>
      </w:tr>
      <w:tr w14:paraId="7765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restart"/>
            <w:noWrap w:val="0"/>
            <w:vAlign w:val="center"/>
          </w:tcPr>
          <w:p w14:paraId="100DE7C5">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w:t>
            </w:r>
          </w:p>
        </w:tc>
        <w:tc>
          <w:tcPr>
            <w:tcW w:w="3388" w:type="dxa"/>
            <w:noWrap w:val="0"/>
            <w:vAlign w:val="top"/>
          </w:tcPr>
          <w:p w14:paraId="0BEF9ED1">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拉伸弹性模量(MPa)</w:t>
            </w:r>
          </w:p>
        </w:tc>
        <w:tc>
          <w:tcPr>
            <w:tcW w:w="2686" w:type="dxa"/>
            <w:noWrap w:val="0"/>
            <w:vAlign w:val="center"/>
          </w:tcPr>
          <w:p w14:paraId="24B35045">
            <w:pPr>
              <w:jc w:val="center"/>
              <w:rPr>
                <w:rFonts w:hint="eastAsia" w:asciiTheme="minorEastAsia" w:hAnsiTheme="minorEastAsia" w:eastAsiaTheme="minorEastAsia" w:cstheme="minorEastAsia"/>
                <w:color w:val="auto"/>
                <w:sz w:val="24"/>
                <w:szCs w:val="24"/>
                <w:highlight w:val="none"/>
                <w:vertAlign w:val="baseline"/>
              </w:rPr>
            </w:pPr>
          </w:p>
        </w:tc>
      </w:tr>
      <w:tr w14:paraId="0660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1403DCB4">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3FA2D256">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当100%</w:t>
            </w:r>
          </w:p>
        </w:tc>
        <w:tc>
          <w:tcPr>
            <w:tcW w:w="2686" w:type="dxa"/>
            <w:noWrap w:val="0"/>
            <w:vAlign w:val="center"/>
          </w:tcPr>
          <w:p w14:paraId="4B74F7EB">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1.6~2.0</w:t>
            </w:r>
          </w:p>
        </w:tc>
      </w:tr>
      <w:tr w14:paraId="3576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341D040B">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7D817A14">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w:t>
            </w:r>
            <w:r>
              <w:rPr>
                <w:rFonts w:hint="eastAsia" w:asciiTheme="minorEastAsia" w:hAnsiTheme="minorEastAsia" w:eastAsiaTheme="minorEastAsia" w:cstheme="minorEastAsia"/>
                <w:color w:val="auto"/>
                <w:sz w:val="24"/>
                <w:szCs w:val="24"/>
                <w:highlight w:val="none"/>
                <w:vertAlign w:val="baseline"/>
                <w:lang w:val="en-US" w:eastAsia="zh-CN"/>
              </w:rPr>
              <w:t>2</w:t>
            </w:r>
            <w:r>
              <w:rPr>
                <w:rFonts w:hint="eastAsia" w:asciiTheme="minorEastAsia" w:hAnsiTheme="minorEastAsia" w:eastAsiaTheme="minorEastAsia" w:cstheme="minorEastAsia"/>
                <w:color w:val="auto"/>
                <w:sz w:val="24"/>
                <w:szCs w:val="24"/>
                <w:highlight w:val="none"/>
                <w:vertAlign w:val="baseline"/>
              </w:rPr>
              <w:t>00%</w:t>
            </w:r>
          </w:p>
        </w:tc>
        <w:tc>
          <w:tcPr>
            <w:tcW w:w="2686" w:type="dxa"/>
            <w:noWrap w:val="0"/>
            <w:vAlign w:val="center"/>
          </w:tcPr>
          <w:p w14:paraId="24CE0750">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1.8~2.5</w:t>
            </w:r>
          </w:p>
        </w:tc>
      </w:tr>
      <w:tr w14:paraId="203D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restart"/>
            <w:noWrap w:val="0"/>
            <w:vAlign w:val="center"/>
          </w:tcPr>
          <w:p w14:paraId="43394888">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7</w:t>
            </w:r>
          </w:p>
        </w:tc>
        <w:tc>
          <w:tcPr>
            <w:tcW w:w="3388" w:type="dxa"/>
            <w:noWrap w:val="0"/>
            <w:vAlign w:val="top"/>
          </w:tcPr>
          <w:p w14:paraId="1497F3FC">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压缩弹性模量(MPa)</w:t>
            </w:r>
          </w:p>
        </w:tc>
        <w:tc>
          <w:tcPr>
            <w:tcW w:w="2686" w:type="dxa"/>
            <w:noWrap w:val="0"/>
            <w:vAlign w:val="center"/>
          </w:tcPr>
          <w:p w14:paraId="6E83608F">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14:paraId="0449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7DF7D3A2">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7D1E45CC">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w:t>
            </w:r>
            <w:r>
              <w:rPr>
                <w:rFonts w:hint="eastAsia" w:asciiTheme="minorEastAsia" w:hAnsiTheme="minorEastAsia" w:eastAsiaTheme="minorEastAsia" w:cstheme="minorEastAsia"/>
                <w:color w:val="auto"/>
                <w:sz w:val="24"/>
                <w:szCs w:val="24"/>
                <w:highlight w:val="none"/>
                <w:vertAlign w:val="baseline"/>
                <w:lang w:val="en-US" w:eastAsia="zh-CN"/>
              </w:rPr>
              <w:t>2</w:t>
            </w:r>
            <w:r>
              <w:rPr>
                <w:rFonts w:hint="eastAsia" w:asciiTheme="minorEastAsia" w:hAnsiTheme="minorEastAsia" w:eastAsiaTheme="minorEastAsia" w:cstheme="minorEastAsia"/>
                <w:color w:val="auto"/>
                <w:sz w:val="24"/>
                <w:szCs w:val="24"/>
                <w:highlight w:val="none"/>
                <w:vertAlign w:val="baseline"/>
              </w:rPr>
              <w:t>0%</w:t>
            </w:r>
          </w:p>
        </w:tc>
        <w:tc>
          <w:tcPr>
            <w:tcW w:w="2686" w:type="dxa"/>
            <w:noWrap w:val="0"/>
            <w:vAlign w:val="center"/>
          </w:tcPr>
          <w:p w14:paraId="0D3BC14C">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5.5~6.0</w:t>
            </w:r>
          </w:p>
        </w:tc>
      </w:tr>
      <w:tr w14:paraId="4422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251ABF56">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63D3AD77">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w:t>
            </w:r>
            <w:r>
              <w:rPr>
                <w:rFonts w:hint="eastAsia" w:asciiTheme="minorEastAsia" w:hAnsiTheme="minorEastAsia" w:eastAsiaTheme="minorEastAsia" w:cstheme="minorEastAsia"/>
                <w:color w:val="auto"/>
                <w:sz w:val="24"/>
                <w:szCs w:val="24"/>
                <w:highlight w:val="none"/>
                <w:vertAlign w:val="baseline"/>
                <w:lang w:val="en-US" w:eastAsia="zh-CN"/>
              </w:rPr>
              <w:t>3</w:t>
            </w:r>
            <w:r>
              <w:rPr>
                <w:rFonts w:hint="eastAsia" w:asciiTheme="minorEastAsia" w:hAnsiTheme="minorEastAsia" w:eastAsiaTheme="minorEastAsia" w:cstheme="minorEastAsia"/>
                <w:color w:val="auto"/>
                <w:sz w:val="24"/>
                <w:szCs w:val="24"/>
                <w:highlight w:val="none"/>
                <w:vertAlign w:val="baseline"/>
              </w:rPr>
              <w:t>0%</w:t>
            </w:r>
          </w:p>
        </w:tc>
        <w:tc>
          <w:tcPr>
            <w:tcW w:w="2686" w:type="dxa"/>
            <w:noWrap w:val="0"/>
            <w:vAlign w:val="center"/>
          </w:tcPr>
          <w:p w14:paraId="256AF814">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5.6~6.0</w:t>
            </w:r>
          </w:p>
        </w:tc>
      </w:tr>
      <w:tr w14:paraId="4796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32BEDE60">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172E7F54">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w:t>
            </w:r>
            <w:r>
              <w:rPr>
                <w:rFonts w:hint="eastAsia" w:asciiTheme="minorEastAsia" w:hAnsiTheme="minorEastAsia" w:eastAsiaTheme="minorEastAsia" w:cstheme="minorEastAsia"/>
                <w:color w:val="auto"/>
                <w:sz w:val="24"/>
                <w:szCs w:val="24"/>
                <w:highlight w:val="none"/>
                <w:vertAlign w:val="baseline"/>
                <w:lang w:val="en-US" w:eastAsia="zh-CN"/>
              </w:rPr>
              <w:t>4</w:t>
            </w:r>
            <w:r>
              <w:rPr>
                <w:rFonts w:hint="eastAsia" w:asciiTheme="minorEastAsia" w:hAnsiTheme="minorEastAsia" w:eastAsiaTheme="minorEastAsia" w:cstheme="minorEastAsia"/>
                <w:color w:val="auto"/>
                <w:sz w:val="24"/>
                <w:szCs w:val="24"/>
                <w:highlight w:val="none"/>
                <w:vertAlign w:val="baseline"/>
              </w:rPr>
              <w:t>0%</w:t>
            </w:r>
          </w:p>
        </w:tc>
        <w:tc>
          <w:tcPr>
            <w:tcW w:w="2686" w:type="dxa"/>
            <w:noWrap w:val="0"/>
            <w:vAlign w:val="center"/>
          </w:tcPr>
          <w:p w14:paraId="5F06B6AA">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6.2~6.8</w:t>
            </w:r>
          </w:p>
        </w:tc>
      </w:tr>
    </w:tbl>
    <w:p w14:paraId="4ED9FEDD">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门体参数</w:t>
      </w:r>
    </w:p>
    <w:p w14:paraId="633AFBC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材质：Q355钢；</w:t>
      </w:r>
    </w:p>
    <w:p w14:paraId="069FC83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规格：54000mm×1500mm×335mm；数量:1组(现场焊接成整体)；</w:t>
      </w:r>
    </w:p>
    <w:p w14:paraId="0EE32DDD">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13F604E2">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中间铰支座</w:t>
      </w:r>
    </w:p>
    <w:p w14:paraId="66DD76D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材质：Q355钢；</w:t>
      </w:r>
    </w:p>
    <w:p w14:paraId="1C11089B">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规格：组合件；数量:9组；</w:t>
      </w:r>
    </w:p>
    <w:p w14:paraId="05D93477">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轴套：MC 自润滑尼龙；</w:t>
      </w:r>
    </w:p>
    <w:p w14:paraId="6516751D">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09CD8AB1">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边铰支座</w:t>
      </w:r>
    </w:p>
    <w:p w14:paraId="4E1108C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材质：Q355钢；</w:t>
      </w:r>
    </w:p>
    <w:p w14:paraId="14F70B1D">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规格：组合件；数量:1组；</w:t>
      </w:r>
    </w:p>
    <w:p w14:paraId="308B7BF7">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轴套：MC自润滑尼龙；</w:t>
      </w:r>
    </w:p>
    <w:p w14:paraId="520ECF7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591A308B">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穿墙防水套</w:t>
      </w:r>
    </w:p>
    <w:p w14:paraId="7BEF2C2B">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Q355 钢:</w:t>
      </w:r>
    </w:p>
    <w:p w14:paraId="65EF9483">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规格:组合件；数量:1组；</w:t>
      </w:r>
    </w:p>
    <w:p w14:paraId="68FC6612">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轴套:MC 自润滑尼龙；</w:t>
      </w:r>
    </w:p>
    <w:p w14:paraId="785DBB5A">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065CEFEB">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底横轴</w:t>
      </w:r>
    </w:p>
    <w:p w14:paraId="7A66C04B">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材质：Q355 钢；</w:t>
      </w:r>
    </w:p>
    <w:p w14:paraId="4FDA9C3C">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规格：组合件；数量:1组(现场焊接成整体)；</w:t>
      </w:r>
    </w:p>
    <w:p w14:paraId="1E87818F">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轴套：304不锈钢；</w:t>
      </w:r>
    </w:p>
    <w:p w14:paraId="5857BDC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12CD56CD">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拐臂</w:t>
      </w:r>
    </w:p>
    <w:p w14:paraId="63F25B0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材质：Q355 钢；</w:t>
      </w:r>
    </w:p>
    <w:p w14:paraId="77C937F3">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规格：组合件；数量：1件；</w:t>
      </w:r>
    </w:p>
    <w:p w14:paraId="0E6D5E9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4D63D03E">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启闭机</w:t>
      </w:r>
    </w:p>
    <w:p w14:paraId="317900B6">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材质：Q355钢、45号钢；</w:t>
      </w:r>
    </w:p>
    <w:p w14:paraId="70A8F9A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规格：组合件；数量:1套；</w:t>
      </w:r>
    </w:p>
    <w:p w14:paraId="267C7566">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液压启装机为中间耳轴式；推力约800KN；拉力约650KN；电磁换向阀换向；</w:t>
      </w:r>
    </w:p>
    <w:p w14:paraId="34C9FEF7">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油缸工作行程2545mm；最大行程2700mm；活塞杆配防尘罩。</w:t>
      </w:r>
    </w:p>
    <w:p w14:paraId="556BFF93">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自动控制系统参数</w:t>
      </w:r>
    </w:p>
    <w:p w14:paraId="25237AC4">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配套 PLC 控制屏，功能为配电、控制、启动(降压起动)等为一体的控制屏。</w:t>
      </w:r>
    </w:p>
    <w:p w14:paraId="365091CB">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 xml:space="preserve">现地LCU完成机组各种模拟量、开关量的采集、计算、工程量变换，进行数据有效性校核等。 </w:t>
      </w:r>
    </w:p>
    <w:p w14:paraId="337831DC">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电源AC380V/220V±10%，额定绝缘电压不小于660V</w:t>
      </w:r>
    </w:p>
    <w:p w14:paraId="24CD10C2">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温度-25℃~70℃:</w:t>
      </w:r>
    </w:p>
    <w:p w14:paraId="149E523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湿度5%~95%(允许短时有冷凝)。</w:t>
      </w:r>
    </w:p>
    <w:p w14:paraId="0A149A99">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柜体结构：为全封闭式板式结构，采用前、后开门设置，防护等级不低于IP57。</w:t>
      </w:r>
    </w:p>
    <w:p w14:paraId="274E894D">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闸门支撑系统（由底横轴、液压启闭机、拐臂、液压锁定装置组成）</w:t>
      </w:r>
    </w:p>
    <w:p w14:paraId="4CDEF061">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底横轴</w:t>
      </w:r>
    </w:p>
    <w:p w14:paraId="6627E51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底横轴制造应符合图纸及底横轴制造技术条件的有关规定。</w:t>
      </w:r>
    </w:p>
    <w:p w14:paraId="1B0C026A">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材质:Q355B</w:t>
      </w:r>
    </w:p>
    <w:p w14:paraId="7AF14463">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防腐:热喷锌外加封闭漆和面漆。喷砂除锈St25级，热喷锌厚度≥160μm，环氧富锌底漆(含锌≥60%)厚度≥60μm，环氧云铁中间漆≥80μm，氣化橡胶面漆≥80μm，其他按照《SL105-2007 水工金属结构防腐蚀规范》执行;附着力≥6MPa；</w:t>
      </w:r>
    </w:p>
    <w:p w14:paraId="2DFE073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机械性能指标:屈服强度 Mpa≥335;拉伸强度470~630Mpa;断面收缩率%≥20;冲击吸收能量≥34。</w:t>
      </w:r>
    </w:p>
    <w:p w14:paraId="0D7D997F">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液压系统（含电动机、液压泵、充液压油管及附件、油箱液位显示和温度显示仪表等构件）：根据选定的1.5m坝高，升降坝时间控制在 3~15min 以内。</w:t>
      </w:r>
    </w:p>
    <w:p w14:paraId="61990F38">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控制系统含控制柜、隔离开关、电流互感器、交流接触器、热继电器、转换开关、电压表、电流表、控制用按钮、信号灯、继电器、开度显示仪表、压力显示仪表、水位显示仪表及其它必需的配件和附件。</w:t>
      </w:r>
    </w:p>
    <w:p w14:paraId="118D0C94">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对于闸门在正常运行过程中由于风、浪可能对启闭机造成的负向 载荷而造成的失速、液压系统能迅速平稳地调整过渡。在调整过程中，系统控制活塞杆的速度、油压及流速等参数平稳变化。避免出现冲击和振动。</w:t>
      </w:r>
    </w:p>
    <w:p w14:paraId="04DCD42E">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闸门在全关位时，启闭机能适应闸顶过水及闸门变形的影响。</w:t>
      </w:r>
    </w:p>
    <w:p w14:paraId="37F3AC36">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油缸行程传感器能给出闸门任意位置开度的指示信号。</w:t>
      </w:r>
    </w:p>
    <w:p w14:paraId="2BAE156F">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闸门在设定好的某一固定位置(即锁锭点)局部开启泄流时，应由液压穿轴锁锭系统进行锁锭，从而使整个液压缸卸载。</w:t>
      </w:r>
    </w:p>
    <w:p w14:paraId="150DD37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油缸行程检测传感器分辨率不低于1mm</w:t>
      </w:r>
    </w:p>
    <w:p w14:paraId="34CC92AC">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闸门挡水结构（含门体、止水橡皮及止水压板、固定螺栓等）</w:t>
      </w:r>
    </w:p>
    <w:p w14:paraId="329E030E">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门体</w:t>
      </w:r>
    </w:p>
    <w:p w14:paraId="38A1DD6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门体制造应符合图纸及门体制造技术条件的有关规定。</w:t>
      </w:r>
    </w:p>
    <w:p w14:paraId="3E63F982">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材质：Q355B</w:t>
      </w:r>
    </w:p>
    <w:p w14:paraId="13DF946C">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防腐：热喷锌外加封闭漆和面漆。喷砂除锈St2.5级，热喷锌厚度≥160μm，环氧富锌底漆(含锌≥60%)厚度≥60μm，环氧云铁中间漆≥80μm，氯化橡胶面漆≥80μm，其他按照《SL105-2007 水工金属结构防腐蚀规范》执行；附着力≥6MPa；</w:t>
      </w:r>
    </w:p>
    <w:p w14:paraId="2E21F82B">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机械性能指标:屈服强度Mpa≥335；拉伸强度 470~630Mpa；断面收缩率%≥20；冲击吸收能量≥34。</w:t>
      </w:r>
    </w:p>
    <w:p w14:paraId="4D35EE00">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锚固螺栓埋件</w:t>
      </w:r>
    </w:p>
    <w:p w14:paraId="6A82CF73">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锚固埋件；材质：主锚栓采用Q355B钢；门体止水锚采用Q335B钢。</w:t>
      </w:r>
    </w:p>
    <w:p w14:paraId="6E874466">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防腐:热镀锌。</w:t>
      </w:r>
    </w:p>
    <w:p w14:paraId="40BFFC88">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闸门系统制造技术条件</w:t>
      </w:r>
    </w:p>
    <w:p w14:paraId="67D5D982">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门体及埋件制造技术要求</w:t>
      </w:r>
    </w:p>
    <w:p w14:paraId="75D42C4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门体及埋件的制造满足相关技术条件，同时符合施工图纸、相关规范的要求。防腐蚀处理措施符合相关规范。</w:t>
      </w:r>
    </w:p>
    <w:p w14:paraId="339AF5E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直接用于制造本工程各项结构的钢板或型钢应预先进行整平和矫正，不平度或变形超过允许范围的钢板或型钢，不用于制造本工程各构件。</w:t>
      </w:r>
    </w:p>
    <w:p w14:paraId="0DD6C780">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门体和埋件各构件的加工、拼装和焊接严格按照预先编制的工艺流程和经监理人审批工艺流程进行。制作过程中随时进行检测，严格控制焊接变形和焊接质量，对焊接变形超差部分全部进行校正，直至达到规定的标准为止。</w:t>
      </w:r>
    </w:p>
    <w:p w14:paraId="1B5B106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选用焊条和被焊工件的材料相适应。</w:t>
      </w:r>
    </w:p>
    <w:p w14:paraId="500961A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所有设备的质量检验及阶段验收工作，均在表面防腐工作之前进行。中间检查由承包人的质检部门负责，业主方监督或进行抽检。</w:t>
      </w:r>
    </w:p>
    <w:p w14:paraId="5745F899">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材料和工艺</w:t>
      </w:r>
    </w:p>
    <w:p w14:paraId="3031546C">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闸门及埋件制造所需的金属材料(包括黑色金属和有色金属材料)必须符合制造图和相关的规定，其机械性能、化学成份及其它技术性能需符合现行的有关国家标准和行业标准。</w:t>
      </w:r>
    </w:p>
    <w:p w14:paraId="52AE4E20">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焊接材料</w:t>
      </w:r>
    </w:p>
    <w:p w14:paraId="2525F5E6">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焊条型号或焊丝代号及其焊剂必须符合合同技术条件的规定，当合同技术条件没有规定时应选用与母材强度相适应的焊接材料。不锈钢的焊条应当使用相匹配的不锈钢焊条。</w:t>
      </w:r>
    </w:p>
    <w:p w14:paraId="60748E1F">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焊条应符合 GB5117、GB5118、GB984、GB983、GB981的有关规定，自动焊用的焊丝应符合 GBT14957 的有关规定。</w:t>
      </w:r>
    </w:p>
    <w:p w14:paraId="7F9B685F">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焊接材料必须具有产品合格证。</w:t>
      </w:r>
    </w:p>
    <w:p w14:paraId="54C91CCF">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焊条的贮存、保管与使用须遵照 JB3223 的规程执行。</w:t>
      </w:r>
    </w:p>
    <w:p w14:paraId="70989BC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闸门(门体)</w:t>
      </w:r>
    </w:p>
    <w:p w14:paraId="1581D7B9">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规格:54000mmX3000mmX467mm；数量:1组；材质:Q355B钢；防腐:热喷锌防腐外加封闭漆和面漆；喷锌厚度大于160μm，环氧封闭漆厚度 80μm，氯化橡胶面漆厚度</w:t>
      </w:r>
      <w:r>
        <w:rPr>
          <w:rFonts w:hint="eastAsia" w:ascii="宋体" w:hAnsi="宋体" w:eastAsia="宋体"/>
          <w:color w:val="auto"/>
          <w:sz w:val="24"/>
          <w:szCs w:val="28"/>
          <w:highlight w:val="none"/>
          <w:lang w:val="en-US" w:eastAsia="zh-CN"/>
        </w:rPr>
        <w:t>≥</w:t>
      </w:r>
      <w:r>
        <w:rPr>
          <w:rFonts w:hint="eastAsia" w:ascii="宋体" w:hAnsi="宋体" w:eastAsia="宋体"/>
          <w:color w:val="auto"/>
          <w:sz w:val="24"/>
          <w:szCs w:val="28"/>
          <w:highlight w:val="none"/>
          <w:lang w:val="en-US" w:eastAsia="zh-CN"/>
        </w:rPr>
        <w:t>80μm。</w:t>
      </w:r>
    </w:p>
    <w:p w14:paraId="671FFC8E">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机械性能指标：屈服强度Mpa</w:t>
      </w:r>
      <w:r>
        <w:rPr>
          <w:rFonts w:hint="eastAsia" w:ascii="宋体" w:hAnsi="宋体" w:eastAsia="宋体"/>
          <w:color w:val="auto"/>
          <w:sz w:val="24"/>
          <w:szCs w:val="28"/>
          <w:highlight w:val="none"/>
          <w:lang w:val="en-US" w:eastAsia="zh-CN"/>
        </w:rPr>
        <w:t>≥</w:t>
      </w:r>
      <w:r>
        <w:rPr>
          <w:rFonts w:hint="eastAsia" w:ascii="宋体" w:hAnsi="宋体" w:eastAsia="宋体"/>
          <w:color w:val="auto"/>
          <w:sz w:val="24"/>
          <w:szCs w:val="28"/>
          <w:highlight w:val="none"/>
          <w:lang w:val="en-US" w:eastAsia="zh-CN"/>
        </w:rPr>
        <w:t>335；拉伸强度470~630Mpa；断面收缩率%</w:t>
      </w:r>
      <w:r>
        <w:rPr>
          <w:rFonts w:hint="eastAsia" w:ascii="宋体" w:hAnsi="宋体" w:eastAsia="宋体"/>
          <w:color w:val="auto"/>
          <w:sz w:val="24"/>
          <w:szCs w:val="28"/>
          <w:highlight w:val="none"/>
          <w:lang w:val="en-US" w:eastAsia="zh-CN"/>
        </w:rPr>
        <w:t>≥</w:t>
      </w:r>
      <w:r>
        <w:rPr>
          <w:rFonts w:hint="eastAsia" w:ascii="宋体" w:hAnsi="宋体" w:eastAsia="宋体"/>
          <w:color w:val="auto"/>
          <w:sz w:val="24"/>
          <w:szCs w:val="28"/>
          <w:highlight w:val="none"/>
          <w:lang w:val="en-US" w:eastAsia="zh-CN"/>
        </w:rPr>
        <w:t>20；冲击吸收能量</w:t>
      </w:r>
      <w:r>
        <w:rPr>
          <w:rFonts w:hint="eastAsia" w:ascii="宋体" w:hAnsi="宋体" w:eastAsia="宋体"/>
          <w:color w:val="auto"/>
          <w:sz w:val="24"/>
          <w:szCs w:val="28"/>
          <w:highlight w:val="none"/>
          <w:lang w:val="en-US" w:eastAsia="zh-CN"/>
        </w:rPr>
        <w:t>≥</w:t>
      </w:r>
      <w:r>
        <w:rPr>
          <w:rFonts w:hint="eastAsia" w:ascii="宋体" w:hAnsi="宋体" w:eastAsia="宋体"/>
          <w:color w:val="auto"/>
          <w:sz w:val="24"/>
          <w:szCs w:val="28"/>
          <w:highlight w:val="none"/>
          <w:lang w:val="en-US" w:eastAsia="zh-CN"/>
        </w:rPr>
        <w:t>34:</w:t>
      </w:r>
    </w:p>
    <w:p w14:paraId="5CAB59B1">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连接</w:t>
      </w:r>
    </w:p>
    <w:p w14:paraId="24245FB7">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焊接连接</w:t>
      </w:r>
    </w:p>
    <w:p w14:paraId="0DF65935">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金属结构件的焊接工艺、焊前准备、施焊、焊接矫形、焊后处理、焊缝质检和焊缝修补等技术必须符合 SL36 和 DL/T5018 的规定。</w:t>
      </w:r>
    </w:p>
    <w:p w14:paraId="2C7AB56F">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焊缝坡口的型式与尺寸应符合设计图的规定,当设计图没有标明时,按GB985或 GB986 执行。</w:t>
      </w:r>
    </w:p>
    <w:p w14:paraId="56193503">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一、二类焊缝的组合焊缝要求全部焊透，其焊脚尺寸必须符合设计图的规定，焊缝外形平缓过渡。</w:t>
      </w:r>
    </w:p>
    <w:p w14:paraId="2422EB5B">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除非设计图另有说明，所有焊缝均为连续焊缝。</w:t>
      </w:r>
    </w:p>
    <w:p w14:paraId="614A7063">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钢板的拼接接头应避开构件应力集中的断面，尽可能避免十字焊缝，相邻平行焊缝的间距应大于200mm。</w:t>
      </w:r>
    </w:p>
    <w:p w14:paraId="194D9677">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对于厚板大断面的焊缝，应采用多层多道焊。</w:t>
      </w:r>
    </w:p>
    <w:p w14:paraId="31D6142D">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螺栓连接</w:t>
      </w:r>
    </w:p>
    <w:p w14:paraId="6DACDEBB">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紧固件的规格、材料、制孔和连接应符合制造图及有关规范规定。</w:t>
      </w:r>
    </w:p>
    <w:p w14:paraId="6F9815D3">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主锚固螺栓、压板螺栓、螺帽、垫圈材质均应符合制造图和有关规定的要求。</w:t>
      </w:r>
    </w:p>
    <w:p w14:paraId="76F9E2C9">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安装所需要的螺栓、螺母、垫圈、连接螺杆均应按制造图中规定的数量预留部分消耗件。</w:t>
      </w:r>
    </w:p>
    <w:p w14:paraId="08CB411E">
      <w:pPr>
        <w:pStyle w:val="46"/>
        <w:numPr>
          <w:ilvl w:val="4"/>
          <w:numId w:val="2"/>
        </w:numPr>
        <w:tabs>
          <w:tab w:val="left" w:pos="993"/>
        </w:tabs>
        <w:spacing w:line="360" w:lineRule="auto"/>
        <w:ind w:left="0" w:leftChars="0" w:firstLine="1276"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预组装时所用的紧固件不能作为永久设备使用。</w:t>
      </w:r>
    </w:p>
    <w:p w14:paraId="7B668EE8">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单个构件：用于制造闸门或埋件的型钢或组焊而成的单个构件应进行整平和矫正，其偏差应符合规范有关条款的规定。对于复杂构件应按事先制作好的样板下料、拼装。</w:t>
      </w:r>
    </w:p>
    <w:p w14:paraId="49BB94C5">
      <w:pPr>
        <w:pStyle w:val="46"/>
        <w:numPr>
          <w:ilvl w:val="1"/>
          <w:numId w:val="2"/>
        </w:numPr>
        <w:tabs>
          <w:tab w:val="left" w:pos="993"/>
        </w:tabs>
        <w:spacing w:line="360" w:lineRule="auto"/>
        <w:ind w:left="0" w:leftChars="0" w:firstLine="425" w:firstLineChars="0"/>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防腐技术要求：须满足本项目图纸要求。</w:t>
      </w:r>
    </w:p>
    <w:p w14:paraId="7525EB2F">
      <w:pPr>
        <w:pStyle w:val="46"/>
        <w:numPr>
          <w:ilvl w:val="0"/>
          <w:numId w:val="2"/>
        </w:numPr>
        <w:spacing w:beforeLines="100" w:afterLines="100"/>
        <w:ind w:left="0" w:leftChars="0" w:firstLine="0"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现场踏勘</w:t>
      </w:r>
    </w:p>
    <w:p w14:paraId="6A9A4DD3">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本项目不组织统一现场踏勘，潜在投标人可自行对项目现场及周围环境进行踏勘，以便获取有关编制投标文件和签署合同所涉及现场的资料。潜在投标人应自行承担踏勘现场所发生的所有费用。</w:t>
      </w:r>
    </w:p>
    <w:p w14:paraId="4D5E8750">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现场踏勘联系人：邵跃斌，联系方式： 13859921858 。</w:t>
      </w:r>
    </w:p>
    <w:p w14:paraId="21A907EA">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潜在投标人并应对由此次踏勘现场而造成的任何损失、损害和引起的费用和开支承担责任。</w:t>
      </w:r>
    </w:p>
    <w:p w14:paraId="6D751510">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投标人在递交投标文件之前，应已进行现场考察，并已经查得以下方面：</w:t>
      </w:r>
    </w:p>
    <w:p w14:paraId="234A63BA">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现场地形、地貌和特征；</w:t>
      </w:r>
    </w:p>
    <w:p w14:paraId="4348FCB6">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实施和完成本合同工程及其缺陷的修复的工作范围、性质和所需要的材料采购和加工；进场道路和水、电、食宿供应条件；</w:t>
      </w:r>
    </w:p>
    <w:p w14:paraId="752C99DE">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当地乡规民约和风俗习惯；</w:t>
      </w:r>
    </w:p>
    <w:p w14:paraId="1F017C9A">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投标人已取得对工程施工有影响或起作用的风险、意外等必要的资料；</w:t>
      </w:r>
    </w:p>
    <w:p w14:paraId="73FAD6AE">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建筑废土的处置。</w:t>
      </w:r>
    </w:p>
    <w:p w14:paraId="5B42B39C">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采购人向潜在投标人提供的有关现场的资料和数据，是采购人现有的能被潜在投标人利用的资料。采购人对投标人做出的理解、推论和结论均不负责任。</w:t>
      </w:r>
    </w:p>
    <w:p w14:paraId="5B48462B">
      <w:pPr>
        <w:pStyle w:val="46"/>
        <w:numPr>
          <w:ilvl w:val="0"/>
          <w:numId w:val="2"/>
        </w:numPr>
        <w:spacing w:beforeLines="100" w:afterLines="100"/>
        <w:ind w:left="0" w:leftChars="0" w:firstLine="0" w:firstLineChars="0"/>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项目管理人员配备要求</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02"/>
        <w:gridCol w:w="7296"/>
      </w:tblGrid>
      <w:tr w14:paraId="285243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3F81AA">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内  容</w:t>
            </w:r>
          </w:p>
        </w:tc>
        <w:tc>
          <w:tcPr>
            <w:tcW w:w="72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2342233">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具体要求</w:t>
            </w:r>
          </w:p>
        </w:tc>
      </w:tr>
      <w:tr w14:paraId="5C87FD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477AAB4">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项目负责人</w:t>
            </w:r>
          </w:p>
        </w:tc>
        <w:tc>
          <w:tcPr>
            <w:tcW w:w="72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B8C0E9">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（1）项目负责人</w:t>
            </w:r>
            <w:r>
              <w:rPr>
                <w:rFonts w:hint="eastAsia" w:asciiTheme="minorEastAsia" w:hAnsiTheme="minorEastAsia" w:eastAsiaTheme="minorEastAsia" w:cstheme="minorEastAsia"/>
                <w:color w:val="auto"/>
                <w:sz w:val="24"/>
                <w:szCs w:val="24"/>
                <w:highlight w:val="none"/>
                <w:u w:val="single"/>
              </w:rPr>
              <w:t>1</w:t>
            </w:r>
            <w:r>
              <w:rPr>
                <w:rFonts w:hint="eastAsia" w:asciiTheme="minorEastAsia" w:hAnsiTheme="minorEastAsia" w:eastAsiaTheme="minorEastAsia" w:cstheme="minorEastAsia"/>
                <w:color w:val="auto"/>
                <w:sz w:val="24"/>
                <w:szCs w:val="24"/>
                <w:highlight w:val="none"/>
              </w:rPr>
              <w:t>人，注册建造师注册专业及等级：</w:t>
            </w:r>
            <w:r>
              <w:rPr>
                <w:rFonts w:hint="eastAsia" w:asciiTheme="minorEastAsia" w:hAnsiTheme="minorEastAsia" w:cstheme="minorEastAsia"/>
                <w:b/>
                <w:color w:val="auto"/>
                <w:sz w:val="24"/>
                <w:szCs w:val="24"/>
                <w:highlight w:val="none"/>
                <w:u w:val="single"/>
                <w:lang w:val="en-US" w:eastAsia="zh-CN"/>
              </w:rPr>
              <w:t xml:space="preserve"> 水利水电工程</w:t>
            </w:r>
            <w:r>
              <w:rPr>
                <w:rFonts w:hint="eastAsia" w:asciiTheme="minorEastAsia" w:hAnsiTheme="minorEastAsia" w:eastAsiaTheme="minorEastAsia" w:cstheme="minorEastAsia"/>
                <w:b/>
                <w:color w:val="auto"/>
                <w:sz w:val="24"/>
                <w:szCs w:val="24"/>
                <w:highlight w:val="none"/>
                <w:u w:val="single"/>
              </w:rPr>
              <w:t>专业贰级（含）以上</w:t>
            </w:r>
            <w:r>
              <w:rPr>
                <w:rFonts w:hint="eastAsia" w:asciiTheme="minorEastAsia" w:hAnsiTheme="minorEastAsia" w:eastAsiaTheme="minorEastAsia" w:cstheme="minorEastAsia"/>
                <w:color w:val="auto"/>
                <w:sz w:val="24"/>
                <w:szCs w:val="24"/>
                <w:highlight w:val="none"/>
              </w:rPr>
              <w:t>，并持有合格有效的安全生产考核合格证书B证。</w:t>
            </w:r>
          </w:p>
          <w:p w14:paraId="4612E44B">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（2）拟派出项目负责人须附上其有效的注册建造师注册证书、身份证和住房和城乡建设行政主管部门颁发的安全生产考核合格证书B证的扫描件。</w:t>
            </w:r>
          </w:p>
          <w:p w14:paraId="68D7F98C">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（3）拟派出项目负责人必须为独立</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或联合体牵头人的本企业在岗人员，以建造师注册证书上的聘用企业为准。</w:t>
            </w:r>
          </w:p>
        </w:tc>
      </w:tr>
      <w:tr w14:paraId="7242F5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639BD43">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技术负责人</w:t>
            </w:r>
          </w:p>
        </w:tc>
        <w:tc>
          <w:tcPr>
            <w:tcW w:w="72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33D97">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（1）项目技术负责人</w:t>
            </w:r>
            <w:r>
              <w:rPr>
                <w:rFonts w:hint="eastAsia" w:asciiTheme="minorEastAsia" w:hAnsiTheme="minorEastAsia" w:eastAsiaTheme="minorEastAsia" w:cstheme="minorEastAsia"/>
                <w:color w:val="auto"/>
                <w:sz w:val="24"/>
                <w:szCs w:val="24"/>
                <w:highlight w:val="none"/>
                <w:u w:val="single"/>
              </w:rPr>
              <w:t>1</w:t>
            </w:r>
            <w:r>
              <w:rPr>
                <w:rFonts w:hint="eastAsia" w:asciiTheme="minorEastAsia" w:hAnsiTheme="minorEastAsia" w:eastAsiaTheme="minorEastAsia" w:cstheme="minorEastAsia"/>
                <w:color w:val="auto"/>
                <w:sz w:val="24"/>
                <w:szCs w:val="24"/>
                <w:highlight w:val="none"/>
              </w:rPr>
              <w:t>人，职称：</w:t>
            </w:r>
            <w:r>
              <w:rPr>
                <w:rFonts w:hint="eastAsia" w:asciiTheme="minorEastAsia" w:hAnsiTheme="minorEastAsia" w:eastAsiaTheme="minorEastAsia" w:cstheme="minorEastAsia"/>
                <w:color w:val="auto"/>
                <w:sz w:val="24"/>
                <w:szCs w:val="24"/>
                <w:highlight w:val="none"/>
                <w:u w:val="single"/>
              </w:rPr>
              <w:t xml:space="preserve"> 中</w:t>
            </w:r>
            <w:r>
              <w:rPr>
                <w:rFonts w:hint="eastAsia" w:asciiTheme="minorEastAsia" w:hAnsiTheme="minorEastAsia" w:eastAsiaTheme="minorEastAsia" w:cstheme="minorEastAsia"/>
                <w:color w:val="auto"/>
                <w:sz w:val="24"/>
                <w:szCs w:val="24"/>
                <w:highlight w:val="none"/>
              </w:rPr>
              <w:t>级（含）以上工程类职称（只考核工程师职称等级，无需考核职称专业）。</w:t>
            </w:r>
          </w:p>
          <w:p w14:paraId="62AF73E8">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（2）拟派出项目技术负责人须附上其职称证书能够证明其资格符合</w:t>
            </w:r>
            <w:r>
              <w:rPr>
                <w:rFonts w:hint="eastAsia" w:asciiTheme="minorEastAsia" w:hAnsi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文件要求职称等级的相关证明材料。</w:t>
            </w:r>
          </w:p>
          <w:p w14:paraId="463E0038">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（3）拟派出项目技术负责人必须为独立</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或联合体牵头人的本企业在岗人员，以住房和城乡建设行政主管部门颁发的有效执业注册证书或社保管理部门出具的社保缴费证明所署单位为准。</w:t>
            </w:r>
          </w:p>
        </w:tc>
      </w:tr>
      <w:tr w14:paraId="6C41EA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F20C0C">
            <w:pPr>
              <w:pStyle w:val="54"/>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b/>
                <w:color w:val="auto"/>
                <w:sz w:val="24"/>
                <w:szCs w:val="24"/>
                <w:highlight w:val="none"/>
                <w:lang w:val="en-US" w:eastAsia="zh-CN"/>
              </w:rPr>
              <w:t>现场安全管理负责人</w:t>
            </w:r>
          </w:p>
        </w:tc>
        <w:tc>
          <w:tcPr>
            <w:tcW w:w="72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FB7521B">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安全员：1人；岗位证书：安全生产考核合格证书C证。</w:t>
            </w:r>
          </w:p>
        </w:tc>
      </w:tr>
    </w:tbl>
    <w:p w14:paraId="2B1559BD">
      <w:pPr>
        <w:pStyle w:val="46"/>
        <w:numPr>
          <w:ilvl w:val="0"/>
          <w:numId w:val="2"/>
        </w:numPr>
        <w:spacing w:beforeLines="100" w:afterLines="100"/>
        <w:ind w:left="0" w:leftChars="0" w:firstLine="0" w:firstLineChars="0"/>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施工要求</w:t>
      </w:r>
    </w:p>
    <w:p w14:paraId="47E22862">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现场安全防护设施要求：</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当按照有关规定编制安全技术措施或者专项施工方案，建立安全生产责任制度、治安保卫制度及安全生产教育培训制度，并按安全生产法律规定及合同约定履行安全职责，如实编制工程安全生产的有关记录，接受采购人、监理人及政府安全监督部门的检查与监督。</w:t>
      </w:r>
    </w:p>
    <w:p w14:paraId="67D53FEF">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环境保护要求：</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应在施工组织设计中列明环境保护的具体措施。在合同履行期间，</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应采取合理措施保护施工现场环境。</w:t>
      </w:r>
    </w:p>
    <w:p w14:paraId="7E65C1D3">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文明施工要求：</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应当遵守国家和工程所在地有关安全生产的要求。</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在工程施工期间，应当采取措施保持施工现场平整，物料堆放整齐。工程所在地有关政府行政管理部门有特殊要求的，按照其要求执行。</w:t>
      </w:r>
    </w:p>
    <w:p w14:paraId="2A9CF279">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rPr>
        <w:t>在工程移交之前，</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应当从施工现场清除全部工程设备、多余材料、垃圾和各种临时工程，并保持施工现场清洁整齐。</w:t>
      </w:r>
    </w:p>
    <w:p w14:paraId="42FA6ABF">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应对施工人员进行质量教育和技术培训，定期考核施工人员的劳动技能，严格执行施工规范和操作规程。</w:t>
      </w:r>
    </w:p>
    <w:p w14:paraId="29E48230">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负责采购材料、工程设备的，应按照设计和有关标准要求采购，并提供产品合格证明及出厂证明，对材料、工程设备质量负责。</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采购的材料和工程设备不符合设计或有关标准要求时，</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应在采购人要求的合理期限内将不符合设计或有关标准要求的材料、工程设备运出施工现场，并重新采购符合要求的材料、工程设备，由此增加的费用和延误工期的责任，由</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承担。</w:t>
      </w:r>
    </w:p>
    <w:p w14:paraId="23A650F0">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rPr>
        <w:t>★</w:t>
      </w:r>
      <w:r>
        <w:rPr>
          <w:rFonts w:hint="eastAsia" w:ascii="宋体" w:hAnsi="宋体" w:eastAsia="宋体"/>
          <w:color w:val="auto"/>
          <w:sz w:val="24"/>
          <w:szCs w:val="28"/>
          <w:highlight w:val="none"/>
          <w:lang w:eastAsia="zh-CN"/>
        </w:rPr>
        <w:t>投标人</w:t>
      </w:r>
      <w:r>
        <w:rPr>
          <w:rFonts w:hint="eastAsia" w:ascii="宋体" w:hAnsi="宋体" w:eastAsia="宋体"/>
          <w:color w:val="auto"/>
          <w:sz w:val="24"/>
          <w:szCs w:val="28"/>
          <w:highlight w:val="none"/>
        </w:rPr>
        <w:t>须对此作出书面承诺并加盖</w:t>
      </w:r>
      <w:r>
        <w:rPr>
          <w:rFonts w:hint="eastAsia" w:ascii="宋体" w:hAnsi="宋体" w:eastAsia="宋体"/>
          <w:color w:val="auto"/>
          <w:sz w:val="24"/>
          <w:szCs w:val="28"/>
          <w:highlight w:val="none"/>
          <w:lang w:eastAsia="zh-CN"/>
        </w:rPr>
        <w:t>投标人</w:t>
      </w:r>
      <w:r>
        <w:rPr>
          <w:rFonts w:hint="eastAsia" w:ascii="宋体" w:hAnsi="宋体" w:eastAsia="宋体"/>
          <w:color w:val="auto"/>
          <w:sz w:val="24"/>
          <w:szCs w:val="28"/>
          <w:highlight w:val="none"/>
        </w:rPr>
        <w:t>公章：若</w:t>
      </w:r>
      <w:r>
        <w:rPr>
          <w:rFonts w:hint="eastAsia" w:ascii="宋体" w:hAnsi="宋体" w:eastAsia="宋体"/>
          <w:color w:val="auto"/>
          <w:sz w:val="24"/>
          <w:szCs w:val="28"/>
          <w:highlight w:val="none"/>
          <w:lang w:val="en-US" w:eastAsia="zh-CN"/>
        </w:rPr>
        <w:t>中标</w:t>
      </w:r>
      <w:r>
        <w:rPr>
          <w:rFonts w:hint="eastAsia" w:ascii="宋体" w:hAnsi="宋体" w:eastAsia="宋体"/>
          <w:color w:val="auto"/>
          <w:sz w:val="24"/>
          <w:szCs w:val="28"/>
          <w:highlight w:val="none"/>
        </w:rPr>
        <w:t>，在项目实施过程中如有出现安全责任事件（包含一切安全生产事故），由</w:t>
      </w:r>
      <w:r>
        <w:rPr>
          <w:rFonts w:hint="eastAsia" w:ascii="宋体" w:hAnsi="宋体" w:eastAsia="宋体"/>
          <w:color w:val="auto"/>
          <w:sz w:val="24"/>
          <w:szCs w:val="28"/>
          <w:highlight w:val="none"/>
          <w:lang w:val="en-US" w:eastAsia="zh-CN"/>
        </w:rPr>
        <w:t>中标人</w:t>
      </w:r>
      <w:r>
        <w:rPr>
          <w:rFonts w:hint="eastAsia" w:ascii="宋体" w:hAnsi="宋体" w:eastAsia="宋体"/>
          <w:color w:val="auto"/>
          <w:sz w:val="24"/>
          <w:szCs w:val="28"/>
          <w:highlight w:val="none"/>
        </w:rPr>
        <w:t>全权负责并承担相应的责任。</w:t>
      </w:r>
    </w:p>
    <w:p w14:paraId="4B4697A7">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rPr>
        <w:t>★中标人须与工程项目周边居民自行协调好关系，不可发生任何突发事件，如有发生突发事件或额外产生的相关费用，均由中标人全权负责并承担相应的责任，投标人须于投标文件中提供承诺书。</w:t>
      </w:r>
    </w:p>
    <w:p w14:paraId="006B2C63">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lang w:val="en-US" w:eastAsia="zh-CN"/>
        </w:rPr>
        <w:t>提供施工条件</w:t>
      </w:r>
    </w:p>
    <w:p w14:paraId="62986CA9">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施工场地：已具备施工条件，采购人按现状移交施工现场。采购人提供的施工图纸范围内场地是采购人能够最大限度提供的施工用地，若需要临时占地，则实施本工程而需要的一切临时占地由中标人承担全部的费用和开支(包括相关手续的申请和办理)，此项费用中标人在投标报价时已综合考虑，包含在签约合同价款中。若中标人发生临时占地情形，相关单位要求拆除的，中标人必须按收到的通知要求予以拆除并自行承担费用。</w:t>
      </w:r>
    </w:p>
    <w:p w14:paraId="08197F14">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电讯由中标人与电讯部门联系，通讯费用由中标人支付。项目施工、生活办公水电接引工作及费用、水电使用费用均由中标人承担，包含在投标总价中，包于使用不调整。</w:t>
      </w:r>
    </w:p>
    <w:p w14:paraId="77D62D18">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施工现场的交通条件：施工现场周围的公共道路通道已畅通,中标人应遵守厦门市交通管理部门和城监部门的有关规定</w:t>
      </w:r>
    </w:p>
    <w:p w14:paraId="05402035">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由采购人办理的施工所需证件、批件的名称和完成时间:采购人委托中标人办理开工前手续(包含但不限于办理质监申报、施工许可证等与本工程开工相关的证件)，不另计报酬，规定由采购人承担的费用由采购人承担。采购人给予积极配合。属中标人原因未及时办理好施工所需证件、批件而延误开工，施工总工期不顺延，中标人应承担工期延误的违约责任。</w:t>
      </w:r>
    </w:p>
    <w:p w14:paraId="15E46829">
      <w:pPr>
        <w:pStyle w:val="46"/>
        <w:numPr>
          <w:ilvl w:val="0"/>
          <w:numId w:val="2"/>
        </w:numPr>
        <w:spacing w:beforeLines="100" w:afterLines="100"/>
        <w:ind w:left="0" w:leftChars="0" w:firstLine="0" w:firstLineChars="0"/>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技术响应要求</w:t>
      </w:r>
    </w:p>
    <w:p w14:paraId="6E8DCCF4">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投标人应在投标文件中明确主要货物的相关信息，包括但不限于：非定制品的品牌、制造商、型号、规格、技术参数、数量等信息，定制品的制造商、规格、技术参数、数量等信息。</w:t>
      </w:r>
    </w:p>
    <w:p w14:paraId="64C88247">
      <w:pPr>
        <w:pStyle w:val="46"/>
        <w:numPr>
          <w:ilvl w:val="1"/>
          <w:numId w:val="2"/>
        </w:numPr>
        <w:tabs>
          <w:tab w:val="left" w:pos="993"/>
        </w:tabs>
        <w:spacing w:line="360" w:lineRule="auto"/>
        <w:ind w:left="0" w:leftChars="0" w:firstLine="425" w:firstLineChars="0"/>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投标人须对此作出书面承诺并加盖投标人公章：投标人针对本项目所提交的投标文件中所有内容都将被视为是投入本项目实施所使用，若在项目实施过程中发现中标人所使用的产品等内容与其投标文件中不符，由此产生的一切后果由中标人承担。项目实施过程中使用产品与投标文件中的中小微企业生产产品、节能、环境标志产品不符，且中标人在投标过程中获利的，造成该部分产品不能结算后果将由中标人承担。并视为中标人违约，对中标人以弄虚作假骗取中标处罚。</w:t>
      </w:r>
    </w:p>
    <w:p w14:paraId="7C84E761">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设备</w:t>
      </w:r>
      <w:r>
        <w:rPr>
          <w:rFonts w:hint="eastAsia" w:ascii="宋体" w:hAnsi="宋体" w:eastAsia="宋体"/>
          <w:color w:val="auto"/>
          <w:sz w:val="24"/>
          <w:szCs w:val="28"/>
          <w:highlight w:val="none"/>
        </w:rPr>
        <w:t>运输：由中标供应 商对所提供的产品按国家有关标准要求进行包装，并选择安全可靠的运输方式运抵工程施工现场，途中安全及费用全部由中标供应 商负责，运抵现场后由中标供应 商自行保管。</w:t>
      </w:r>
    </w:p>
    <w:p w14:paraId="33136DEE">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本章的要求为基本要求，评分条款若有对优于本章要求进行加分的，投标人符合要求并提供相应证明材料的可获加分，具体详见评分条款。</w:t>
      </w:r>
    </w:p>
    <w:p w14:paraId="48F381AE">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投标人除根据本章技术参数要求提供相应技术响应及佐证材料外，还应根据技术项评分条款的要求提供相应的技术参数佐证材料，未按要求提供的将可能导致不得分。</w:t>
      </w:r>
    </w:p>
    <w:p w14:paraId="63424D73">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投标人应根据技术项评分条款的要求提供相应的方案，如实施方案、供货方案、安装调试方案等。</w:t>
      </w:r>
    </w:p>
    <w:p w14:paraId="085112CB">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投标人应根据技术要求和评分条款的要求明确中标后投入本项目的管理人员、技术人员、服务人员等信息，并提供相应的佐证材料，未按要求提供的将可能导致不得分。</w:t>
      </w:r>
    </w:p>
    <w:p w14:paraId="422179CC">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ascii="宋体" w:hAnsi="宋体" w:eastAsia="宋体"/>
          <w:color w:val="auto"/>
          <w:sz w:val="24"/>
          <w:szCs w:val="28"/>
          <w:highlight w:val="none"/>
        </w:rPr>
        <w:t>评分条款中若要求提供人员社保证明的，</w:t>
      </w:r>
      <w:r>
        <w:rPr>
          <w:rFonts w:hint="eastAsia" w:ascii="宋体" w:hAnsi="宋体" w:eastAsia="宋体"/>
          <w:color w:val="auto"/>
          <w:sz w:val="24"/>
          <w:szCs w:val="28"/>
          <w:highlight w:val="none"/>
        </w:rPr>
        <w:t>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14:paraId="61B7B287">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评分条款中若要求提供检验（检测）报告或测试报告的，投标人应提供国家认可的第三方检验（检测）机构出具的相应报告佐证（报告需加盖机构公章或检验检测专用章，并标注资质认定标志CMA或CNAS）。未按要求提供的不予认可。</w:t>
      </w:r>
    </w:p>
    <w:p w14:paraId="2A98B047">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投标人中标后不得将本项目转包，否则采购人有权终止合同并追究中标人的违约责任。</w:t>
      </w:r>
    </w:p>
    <w:p w14:paraId="45F9A526">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w:t>
      </w:r>
      <w:r>
        <w:rPr>
          <w:rFonts w:ascii="宋体" w:hAnsi="宋体" w:eastAsia="宋体"/>
          <w:color w:val="auto"/>
          <w:sz w:val="24"/>
          <w:szCs w:val="28"/>
          <w:highlight w:val="none"/>
        </w:rPr>
        <w:t>提供的采购标的应符合国家知识产权法律、法规的规定且非假冒伪劣品；</w:t>
      </w:r>
      <w:r>
        <w:rPr>
          <w:rFonts w:hint="eastAsia" w:ascii="宋体" w:hAnsi="宋体" w:eastAsia="宋体"/>
          <w:color w:val="auto"/>
          <w:sz w:val="24"/>
          <w:szCs w:val="28"/>
          <w:highlight w:val="none"/>
        </w:rPr>
        <w:t>投标人中标</w:t>
      </w:r>
      <w:r>
        <w:rPr>
          <w:rFonts w:ascii="宋体" w:hAnsi="宋体" w:eastAsia="宋体"/>
          <w:color w:val="auto"/>
          <w:sz w:val="24"/>
          <w:szCs w:val="28"/>
          <w:highlight w:val="none"/>
        </w:rPr>
        <w:t>后需保证</w:t>
      </w:r>
      <w:r>
        <w:rPr>
          <w:rFonts w:hint="eastAsia" w:ascii="宋体" w:hAnsi="宋体" w:eastAsia="宋体"/>
          <w:color w:val="auto"/>
          <w:sz w:val="24"/>
          <w:szCs w:val="28"/>
          <w:highlight w:val="none"/>
        </w:rPr>
        <w:t>采购</w:t>
      </w:r>
      <w:r>
        <w:rPr>
          <w:rFonts w:ascii="宋体" w:hAnsi="宋体" w:eastAsia="宋体"/>
          <w:color w:val="auto"/>
          <w:sz w:val="24"/>
          <w:szCs w:val="28"/>
          <w:highlight w:val="none"/>
        </w:rPr>
        <w:t>人不受到第三方关于侵犯知识产权及专利权、商标权或工业设计权等知识产权方面的指控，若任何第三方提出此方面指控均与</w:t>
      </w:r>
      <w:r>
        <w:rPr>
          <w:rFonts w:hint="eastAsia" w:ascii="宋体" w:hAnsi="宋体" w:eastAsia="宋体"/>
          <w:color w:val="auto"/>
          <w:sz w:val="24"/>
          <w:szCs w:val="28"/>
          <w:highlight w:val="none"/>
        </w:rPr>
        <w:t>采购人</w:t>
      </w:r>
      <w:r>
        <w:rPr>
          <w:rFonts w:ascii="宋体" w:hAnsi="宋体" w:eastAsia="宋体"/>
          <w:color w:val="auto"/>
          <w:sz w:val="24"/>
          <w:szCs w:val="28"/>
          <w:highlight w:val="none"/>
        </w:rPr>
        <w:t>无关，</w:t>
      </w:r>
      <w:r>
        <w:rPr>
          <w:rFonts w:hint="eastAsia" w:ascii="宋体" w:hAnsi="宋体" w:eastAsia="宋体"/>
          <w:color w:val="auto"/>
          <w:sz w:val="24"/>
          <w:szCs w:val="28"/>
          <w:highlight w:val="none"/>
        </w:rPr>
        <w:t>中标人</w:t>
      </w:r>
      <w:r>
        <w:rPr>
          <w:rFonts w:ascii="宋体" w:hAnsi="宋体" w:eastAsia="宋体"/>
          <w:color w:val="auto"/>
          <w:sz w:val="24"/>
          <w:szCs w:val="28"/>
          <w:highlight w:val="none"/>
        </w:rPr>
        <w:t>应与第三方交涉，并承担可能发生的一切法律责任、费用和后果；若</w:t>
      </w:r>
      <w:r>
        <w:rPr>
          <w:rFonts w:hint="eastAsia" w:ascii="宋体" w:hAnsi="宋体" w:eastAsia="宋体"/>
          <w:color w:val="auto"/>
          <w:sz w:val="24"/>
          <w:szCs w:val="28"/>
          <w:highlight w:val="none"/>
        </w:rPr>
        <w:t>采购人</w:t>
      </w:r>
      <w:r>
        <w:rPr>
          <w:rFonts w:ascii="宋体" w:hAnsi="宋体" w:eastAsia="宋体"/>
          <w:color w:val="auto"/>
          <w:sz w:val="24"/>
          <w:szCs w:val="28"/>
          <w:highlight w:val="none"/>
        </w:rPr>
        <w:t>因此而遭致损失，则</w:t>
      </w:r>
      <w:r>
        <w:rPr>
          <w:rFonts w:hint="eastAsia" w:ascii="宋体" w:hAnsi="宋体" w:eastAsia="宋体"/>
          <w:color w:val="auto"/>
          <w:sz w:val="24"/>
          <w:szCs w:val="28"/>
          <w:highlight w:val="none"/>
        </w:rPr>
        <w:t>中标人</w:t>
      </w:r>
      <w:r>
        <w:rPr>
          <w:rFonts w:ascii="宋体" w:hAnsi="宋体" w:eastAsia="宋体"/>
          <w:color w:val="auto"/>
          <w:sz w:val="24"/>
          <w:szCs w:val="28"/>
          <w:highlight w:val="none"/>
        </w:rPr>
        <w:t>应赔偿该损失。</w:t>
      </w:r>
    </w:p>
    <w:p w14:paraId="69DAFC21">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186FF488">
      <w:pPr>
        <w:rPr>
          <w:color w:val="auto"/>
          <w:highlight w:val="none"/>
        </w:rPr>
      </w:pPr>
    </w:p>
    <w:p w14:paraId="3CBBE648">
      <w:pPr>
        <w:pStyle w:val="3"/>
        <w:spacing w:beforeLines="100" w:afterLines="100" w:line="240" w:lineRule="auto"/>
        <w:jc w:val="left"/>
        <w:rPr>
          <w:rFonts w:ascii="黑体" w:hAnsi="黑体" w:eastAsia="黑体" w:cs="Times New Roman"/>
          <w:color w:val="auto"/>
          <w:kern w:val="0"/>
          <w:sz w:val="30"/>
          <w:highlight w:val="none"/>
        </w:rPr>
      </w:pPr>
      <w:bookmarkStart w:id="21" w:name="_Toc139103825"/>
      <w:r>
        <w:rPr>
          <w:rFonts w:ascii="黑体" w:hAnsi="黑体" w:eastAsia="黑体" w:cs="Times New Roman"/>
          <w:color w:val="auto"/>
          <w:kern w:val="0"/>
          <w:sz w:val="30"/>
          <w:highlight w:val="none"/>
        </w:rPr>
        <w:t>三、商务要求</w:t>
      </w:r>
      <w:bookmarkEnd w:id="21"/>
    </w:p>
    <w:p w14:paraId="49453E68">
      <w:pPr>
        <w:rPr>
          <w:rFonts w:asciiTheme="minorEastAsia" w:hAnsiTheme="minorEastAsia"/>
          <w:color w:val="auto"/>
          <w:sz w:val="28"/>
          <w:szCs w:val="28"/>
          <w:highlight w:val="none"/>
        </w:rPr>
      </w:pPr>
      <w:r>
        <w:rPr>
          <w:rFonts w:asciiTheme="minorEastAsia" w:hAnsiTheme="minorEastAsia"/>
          <w:color w:val="auto"/>
          <w:sz w:val="28"/>
          <w:szCs w:val="28"/>
          <w:highlight w:val="none"/>
        </w:rPr>
        <w:t>（以“★”标示的内容为不允许负偏离的实质性要求）</w:t>
      </w:r>
    </w:p>
    <w:p w14:paraId="22A5B1CA">
      <w:pPr>
        <w:spacing w:line="360" w:lineRule="auto"/>
        <w:rPr>
          <w:rFonts w:asciiTheme="minorEastAsia" w:hAnsiTheme="minorEastAsia"/>
          <w:color w:val="auto"/>
          <w:sz w:val="24"/>
          <w:szCs w:val="28"/>
          <w:highlight w:val="none"/>
        </w:rPr>
      </w:pPr>
      <w:r>
        <w:rPr>
          <w:rFonts w:asciiTheme="minorEastAsia" w:hAnsiTheme="minorEastAsia"/>
          <w:color w:val="auto"/>
          <w:sz w:val="24"/>
          <w:szCs w:val="28"/>
          <w:highlight w:val="none"/>
        </w:rPr>
        <w:t>采购包1：</w:t>
      </w:r>
    </w:p>
    <w:tbl>
      <w:tblPr>
        <w:tblStyle w:val="17"/>
        <w:tblW w:w="89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2390"/>
        <w:gridCol w:w="4437"/>
      </w:tblGrid>
      <w:tr w14:paraId="4FB0F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722CB9F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序号</w:t>
            </w:r>
          </w:p>
        </w:tc>
        <w:tc>
          <w:tcPr>
            <w:tcW w:w="1276" w:type="dxa"/>
            <w:vAlign w:val="center"/>
          </w:tcPr>
          <w:p w14:paraId="2964EF3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参数性质</w:t>
            </w:r>
          </w:p>
        </w:tc>
        <w:tc>
          <w:tcPr>
            <w:tcW w:w="2390" w:type="dxa"/>
            <w:vAlign w:val="center"/>
          </w:tcPr>
          <w:p w14:paraId="788D55AF">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类型</w:t>
            </w:r>
          </w:p>
        </w:tc>
        <w:tc>
          <w:tcPr>
            <w:tcW w:w="4437" w:type="dxa"/>
            <w:vAlign w:val="center"/>
          </w:tcPr>
          <w:p w14:paraId="31240243">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要求</w:t>
            </w:r>
          </w:p>
        </w:tc>
      </w:tr>
      <w:tr w14:paraId="5005C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A092670">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276" w:type="dxa"/>
            <w:vAlign w:val="center"/>
          </w:tcPr>
          <w:p w14:paraId="5AD844E0">
            <w:pPr>
              <w:spacing w:line="360" w:lineRule="auto"/>
              <w:jc w:val="center"/>
              <w:rPr>
                <w:rFonts w:ascii="宋体" w:hAnsi="宋体" w:eastAsia="宋体" w:cs="Times New Roman"/>
                <w:color w:val="auto"/>
                <w:sz w:val="24"/>
                <w:szCs w:val="24"/>
                <w:highlight w:val="none"/>
              </w:rPr>
            </w:pPr>
          </w:p>
        </w:tc>
        <w:tc>
          <w:tcPr>
            <w:tcW w:w="2390" w:type="dxa"/>
            <w:vAlign w:val="center"/>
          </w:tcPr>
          <w:p w14:paraId="7E6E22DE">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交货时间</w:t>
            </w:r>
          </w:p>
        </w:tc>
        <w:tc>
          <w:tcPr>
            <w:tcW w:w="4437" w:type="dxa"/>
            <w:vAlign w:val="center"/>
          </w:tcPr>
          <w:p w14:paraId="6340BE2A">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本项目工期为</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270</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日历日，具体开工日期以总监理工程师签署开工令为准。应按照施工现场施工进度按时交货。</w:t>
            </w:r>
          </w:p>
        </w:tc>
      </w:tr>
      <w:tr w14:paraId="77FB2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142BC57D">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276" w:type="dxa"/>
            <w:vAlign w:val="center"/>
          </w:tcPr>
          <w:p w14:paraId="7910CBE6">
            <w:pPr>
              <w:spacing w:line="360" w:lineRule="auto"/>
              <w:jc w:val="center"/>
              <w:rPr>
                <w:rFonts w:ascii="宋体" w:hAnsi="宋体" w:eastAsia="宋体" w:cs="Times New Roman"/>
                <w:color w:val="auto"/>
                <w:sz w:val="24"/>
                <w:szCs w:val="24"/>
                <w:highlight w:val="none"/>
              </w:rPr>
            </w:pPr>
          </w:p>
        </w:tc>
        <w:tc>
          <w:tcPr>
            <w:tcW w:w="2390" w:type="dxa"/>
            <w:vAlign w:val="center"/>
          </w:tcPr>
          <w:p w14:paraId="5EA16A19">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交货地点</w:t>
            </w:r>
          </w:p>
        </w:tc>
        <w:tc>
          <w:tcPr>
            <w:tcW w:w="4437" w:type="dxa"/>
            <w:vAlign w:val="center"/>
          </w:tcPr>
          <w:p w14:paraId="07D2358E">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福建省厦门市同安区工程项目所在地</w:t>
            </w:r>
          </w:p>
        </w:tc>
      </w:tr>
      <w:tr w14:paraId="13D90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783B726">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p>
        </w:tc>
        <w:tc>
          <w:tcPr>
            <w:tcW w:w="1276" w:type="dxa"/>
            <w:vAlign w:val="center"/>
          </w:tcPr>
          <w:p w14:paraId="58C4D7CD">
            <w:pPr>
              <w:spacing w:line="360" w:lineRule="auto"/>
              <w:jc w:val="center"/>
              <w:rPr>
                <w:rFonts w:ascii="宋体" w:hAnsi="宋体" w:eastAsia="宋体" w:cs="Times New Roman"/>
                <w:color w:val="auto"/>
                <w:sz w:val="24"/>
                <w:szCs w:val="24"/>
                <w:highlight w:val="none"/>
              </w:rPr>
            </w:pPr>
          </w:p>
        </w:tc>
        <w:tc>
          <w:tcPr>
            <w:tcW w:w="2390" w:type="dxa"/>
            <w:vAlign w:val="center"/>
          </w:tcPr>
          <w:p w14:paraId="6FA5FB59">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交货条件</w:t>
            </w:r>
          </w:p>
        </w:tc>
        <w:tc>
          <w:tcPr>
            <w:tcW w:w="4437" w:type="dxa"/>
            <w:vAlign w:val="center"/>
          </w:tcPr>
          <w:p w14:paraId="0D25C7C3">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现场交货</w:t>
            </w:r>
            <w:r>
              <w:rPr>
                <w:rFonts w:hint="eastAsia" w:ascii="宋体" w:hAnsi="宋体" w:eastAsia="宋体" w:cs="Times New Roman"/>
                <w:color w:val="auto"/>
                <w:sz w:val="24"/>
                <w:szCs w:val="24"/>
                <w:highlight w:val="none"/>
                <w:lang w:val="en-US" w:eastAsia="zh-CN"/>
              </w:rPr>
              <w:t>安装及</w:t>
            </w:r>
            <w:r>
              <w:rPr>
                <w:rFonts w:hint="eastAsia" w:ascii="宋体" w:hAnsi="宋体" w:eastAsia="宋体" w:cs="Times New Roman"/>
                <w:color w:val="auto"/>
                <w:sz w:val="24"/>
                <w:szCs w:val="24"/>
                <w:highlight w:val="none"/>
              </w:rPr>
              <w:t>施工</w:t>
            </w:r>
          </w:p>
        </w:tc>
      </w:tr>
      <w:tr w14:paraId="7ED4E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8379C45">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p>
        </w:tc>
        <w:tc>
          <w:tcPr>
            <w:tcW w:w="1276" w:type="dxa"/>
            <w:vAlign w:val="center"/>
          </w:tcPr>
          <w:p w14:paraId="3194A90B">
            <w:pPr>
              <w:spacing w:line="360" w:lineRule="auto"/>
              <w:jc w:val="center"/>
              <w:rPr>
                <w:rFonts w:ascii="宋体" w:hAnsi="宋体" w:eastAsia="宋体" w:cs="Times New Roman"/>
                <w:color w:val="auto"/>
                <w:sz w:val="24"/>
                <w:szCs w:val="24"/>
                <w:highlight w:val="none"/>
              </w:rPr>
            </w:pPr>
          </w:p>
        </w:tc>
        <w:tc>
          <w:tcPr>
            <w:tcW w:w="2390" w:type="dxa"/>
            <w:vAlign w:val="center"/>
          </w:tcPr>
          <w:p w14:paraId="7972758B">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是否邀请投标人验收</w:t>
            </w:r>
          </w:p>
        </w:tc>
        <w:tc>
          <w:tcPr>
            <w:tcW w:w="4437" w:type="dxa"/>
            <w:vAlign w:val="center"/>
          </w:tcPr>
          <w:p w14:paraId="3041A78A">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不邀请</w:t>
            </w:r>
          </w:p>
        </w:tc>
      </w:tr>
      <w:tr w14:paraId="02260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02984A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w:t>
            </w:r>
          </w:p>
        </w:tc>
        <w:tc>
          <w:tcPr>
            <w:tcW w:w="1276" w:type="dxa"/>
            <w:vAlign w:val="center"/>
          </w:tcPr>
          <w:p w14:paraId="4971CD99">
            <w:pPr>
              <w:spacing w:line="360" w:lineRule="auto"/>
              <w:jc w:val="center"/>
              <w:rPr>
                <w:rFonts w:ascii="宋体" w:hAnsi="宋体" w:eastAsia="宋体" w:cs="Times New Roman"/>
                <w:color w:val="auto"/>
                <w:sz w:val="24"/>
                <w:szCs w:val="24"/>
                <w:highlight w:val="none"/>
              </w:rPr>
            </w:pPr>
          </w:p>
        </w:tc>
        <w:tc>
          <w:tcPr>
            <w:tcW w:w="2390" w:type="dxa"/>
            <w:vAlign w:val="center"/>
          </w:tcPr>
          <w:p w14:paraId="7929482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履约验收方式</w:t>
            </w:r>
          </w:p>
        </w:tc>
        <w:tc>
          <w:tcPr>
            <w:tcW w:w="4437" w:type="dxa"/>
            <w:vAlign w:val="center"/>
          </w:tcPr>
          <w:p w14:paraId="149362D3">
            <w:pPr>
              <w:numPr>
                <w:ilvl w:val="0"/>
                <w:numId w:val="0"/>
              </w:num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rPr>
              <w:t>期次1，说明：【（1）验收依据：</w:t>
            </w:r>
            <w:r>
              <w:rPr>
                <w:rFonts w:hint="eastAsia" w:ascii="宋体" w:hAnsi="宋体" w:eastAsia="宋体" w:cs="Times New Roman"/>
                <w:color w:val="auto"/>
                <w:kern w:val="0"/>
                <w:sz w:val="24"/>
                <w:szCs w:val="24"/>
                <w:highlight w:val="none"/>
                <w:lang w:val="en-US" w:eastAsia="zh-CN"/>
              </w:rPr>
              <w:t>招标</w:t>
            </w:r>
            <w:r>
              <w:rPr>
                <w:rFonts w:hint="eastAsia" w:ascii="宋体" w:hAnsi="宋体" w:eastAsia="宋体" w:cs="Times New Roman"/>
                <w:color w:val="auto"/>
                <w:kern w:val="0"/>
                <w:sz w:val="24"/>
                <w:szCs w:val="24"/>
                <w:highlight w:val="none"/>
              </w:rPr>
              <w:t>文件、</w:t>
            </w:r>
            <w:r>
              <w:rPr>
                <w:rFonts w:hint="eastAsia" w:ascii="宋体" w:hAnsi="宋体" w:eastAsia="宋体" w:cs="Times New Roman"/>
                <w:color w:val="auto"/>
                <w:kern w:val="0"/>
                <w:sz w:val="24"/>
                <w:szCs w:val="24"/>
                <w:highlight w:val="none"/>
                <w:lang w:val="en-US" w:eastAsia="zh-CN"/>
              </w:rPr>
              <w:t>投标</w:t>
            </w:r>
            <w:r>
              <w:rPr>
                <w:rFonts w:hint="eastAsia" w:ascii="宋体" w:hAnsi="宋体" w:eastAsia="宋体" w:cs="Times New Roman"/>
                <w:color w:val="auto"/>
                <w:kern w:val="0"/>
                <w:sz w:val="24"/>
                <w:szCs w:val="24"/>
                <w:highlight w:val="none"/>
              </w:rPr>
              <w:t>文件、技术标准说明及国家有关的质量标准规定，均为验收依据。 （2）</w:t>
            </w:r>
            <w:r>
              <w:rPr>
                <w:rFonts w:hint="eastAsia" w:ascii="宋体" w:hAnsi="宋体" w:eastAsia="宋体" w:cs="Times New Roman"/>
                <w:color w:val="auto"/>
                <w:kern w:val="0"/>
                <w:sz w:val="24"/>
                <w:szCs w:val="24"/>
                <w:highlight w:val="none"/>
                <w:lang w:val="en-US" w:eastAsia="zh-CN"/>
              </w:rPr>
              <w:t>本项目依据《水利水电建设工程验收规程》SL/T223—2025标准文件进行验收。（3）</w:t>
            </w:r>
            <w:r>
              <w:rPr>
                <w:rFonts w:hint="eastAsia" w:ascii="宋体" w:hAnsi="宋体" w:eastAsia="宋体" w:cs="Times New Roman"/>
                <w:color w:val="auto"/>
                <w:kern w:val="0"/>
                <w:sz w:val="24"/>
                <w:szCs w:val="24"/>
                <w:highlight w:val="none"/>
              </w:rPr>
              <w:t>设备材料进场验收：设备、材料运抵施工现场后，由采购人、监理单位、</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双方对照清单及技术要求进行验收。 （</w:t>
            </w:r>
            <w:r>
              <w:rPr>
                <w:rFonts w:hint="eastAsia" w:ascii="宋体" w:hAnsi="宋体" w:eastAsia="宋体" w:cs="Times New Roman"/>
                <w:color w:val="auto"/>
                <w:kern w:val="0"/>
                <w:sz w:val="24"/>
                <w:szCs w:val="24"/>
                <w:highlight w:val="none"/>
                <w:lang w:val="en-US" w:eastAsia="zh-CN"/>
              </w:rPr>
              <w:t>4</w:t>
            </w:r>
            <w:r>
              <w:rPr>
                <w:rFonts w:hint="eastAsia" w:ascii="宋体" w:hAnsi="宋体" w:eastAsia="宋体" w:cs="Times New Roman"/>
                <w:color w:val="auto"/>
                <w:kern w:val="0"/>
                <w:sz w:val="24"/>
                <w:szCs w:val="24"/>
                <w:highlight w:val="none"/>
              </w:rPr>
              <w:t>）施工期间，若采购人提出主要施工材料在进场前应出具产品合格文件、检测报告，</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应及时提供并经采购人审核后方可使用于施工，其性能及技术指标应达到施工图中提供的相关参数及要求，且不低于</w:t>
            </w:r>
            <w:r>
              <w:rPr>
                <w:rFonts w:hint="eastAsia" w:ascii="宋体" w:hAnsi="宋体" w:eastAsia="宋体" w:cs="Times New Roman"/>
                <w:color w:val="auto"/>
                <w:kern w:val="0"/>
                <w:sz w:val="24"/>
                <w:szCs w:val="24"/>
                <w:highlight w:val="none"/>
                <w:lang w:val="en-US" w:eastAsia="zh-CN"/>
              </w:rPr>
              <w:t>招标</w:t>
            </w:r>
            <w:r>
              <w:rPr>
                <w:rFonts w:hint="eastAsia" w:ascii="宋体" w:hAnsi="宋体" w:eastAsia="宋体" w:cs="Times New Roman"/>
                <w:color w:val="auto"/>
                <w:kern w:val="0"/>
                <w:sz w:val="24"/>
                <w:szCs w:val="24"/>
                <w:highlight w:val="none"/>
              </w:rPr>
              <w:t>文件、</w:t>
            </w:r>
            <w:r>
              <w:rPr>
                <w:rFonts w:hint="eastAsia" w:ascii="宋体" w:hAnsi="宋体" w:eastAsia="宋体" w:cs="Times New Roman"/>
                <w:color w:val="auto"/>
                <w:kern w:val="0"/>
                <w:sz w:val="24"/>
                <w:szCs w:val="24"/>
                <w:highlight w:val="none"/>
                <w:lang w:val="en-US" w:eastAsia="zh-CN"/>
              </w:rPr>
              <w:t>投标</w:t>
            </w:r>
            <w:r>
              <w:rPr>
                <w:rFonts w:hint="eastAsia" w:ascii="宋体" w:hAnsi="宋体" w:eastAsia="宋体" w:cs="Times New Roman"/>
                <w:color w:val="auto"/>
                <w:kern w:val="0"/>
                <w:sz w:val="24"/>
                <w:szCs w:val="24"/>
                <w:highlight w:val="none"/>
              </w:rPr>
              <w:t>文件要求。 （</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）工程竣工结算要求：工程完工验收并出具验收报告或验收纪要后，</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应在90日内完成工程项目决算送审。否则视为</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违约，按照签约合同价日万分之五计算违约金，该项违约金上限为签约合同价的3%。</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6</w:t>
            </w:r>
            <w:r>
              <w:rPr>
                <w:rFonts w:hint="eastAsia" w:ascii="宋体" w:hAnsi="宋体" w:eastAsia="宋体" w:cs="Times New Roman"/>
                <w:color w:val="auto"/>
                <w:kern w:val="0"/>
                <w:sz w:val="24"/>
                <w:szCs w:val="24"/>
                <w:highlight w:val="none"/>
                <w:lang w:eastAsia="zh-CN"/>
              </w:rPr>
              <w:t>）工程决算资料归档要求：工程竣工验收后，中标人应在90日内完成工程项目决算资料归档到建设单位和代建单位。否则视为中标人违约，按照签约合同价日万分之五计算违约金，该项违约金上限为签约合同价的3%。（</w:t>
            </w:r>
            <w:r>
              <w:rPr>
                <w:rFonts w:hint="eastAsia" w:ascii="宋体" w:hAnsi="宋体" w:eastAsia="宋体" w:cs="Times New Roman"/>
                <w:color w:val="auto"/>
                <w:kern w:val="0"/>
                <w:sz w:val="24"/>
                <w:szCs w:val="24"/>
                <w:highlight w:val="none"/>
                <w:lang w:val="en-US" w:eastAsia="zh-CN"/>
              </w:rPr>
              <w:t>7</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rPr>
              <w:t>竣工验收：</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根据</w:t>
            </w:r>
            <w:r>
              <w:rPr>
                <w:rFonts w:hint="eastAsia" w:ascii="宋体" w:hAnsi="宋体" w:eastAsia="宋体" w:cs="Times New Roman"/>
                <w:color w:val="auto"/>
                <w:kern w:val="0"/>
                <w:sz w:val="24"/>
                <w:szCs w:val="24"/>
                <w:highlight w:val="none"/>
                <w:lang w:val="en-US" w:eastAsia="zh-CN"/>
              </w:rPr>
              <w:t>施工图纸</w:t>
            </w:r>
            <w:r>
              <w:rPr>
                <w:rFonts w:hint="eastAsia" w:ascii="宋体" w:hAnsi="宋体" w:eastAsia="宋体" w:cs="Times New Roman"/>
                <w:color w:val="auto"/>
                <w:kern w:val="0"/>
                <w:sz w:val="24"/>
                <w:szCs w:val="24"/>
                <w:highlight w:val="none"/>
              </w:rPr>
              <w:t>要求进行施工完毕并经检测单位检测合格后，由采购人及相关部门组织验收。（</w:t>
            </w:r>
            <w:r>
              <w:rPr>
                <w:rFonts w:hint="eastAsia" w:ascii="宋体" w:hAnsi="宋体" w:eastAsia="宋体" w:cs="Times New Roman"/>
                <w:color w:val="auto"/>
                <w:kern w:val="0"/>
                <w:sz w:val="24"/>
                <w:szCs w:val="24"/>
                <w:highlight w:val="none"/>
                <w:lang w:val="en-US" w:eastAsia="zh-CN"/>
              </w:rPr>
              <w:t>8</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应在项目验收时向采购人提供并移交下列（但不限于）项目及项目相关资料：①施工内业资料；②竣工图纸；③其它正式验收需提供的通知或文本或资料。（</w:t>
            </w:r>
            <w:r>
              <w:rPr>
                <w:rFonts w:hint="eastAsia" w:ascii="宋体" w:hAnsi="宋体" w:eastAsia="宋体" w:cs="Times New Roman"/>
                <w:color w:val="auto"/>
                <w:kern w:val="0"/>
                <w:sz w:val="24"/>
                <w:szCs w:val="24"/>
                <w:highlight w:val="none"/>
                <w:lang w:val="en-US" w:eastAsia="zh-CN"/>
              </w:rPr>
              <w:t>9</w:t>
            </w:r>
            <w:r>
              <w:rPr>
                <w:rFonts w:hint="eastAsia" w:ascii="宋体" w:hAnsi="宋体" w:eastAsia="宋体" w:cs="Times New Roman"/>
                <w:color w:val="auto"/>
                <w:kern w:val="0"/>
                <w:sz w:val="24"/>
                <w:szCs w:val="24"/>
                <w:highlight w:val="none"/>
              </w:rPr>
              <w:t>）验收时</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代表必须在场，</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在施工完毕后，在10个工作日内采购人根据</w:t>
            </w:r>
            <w:r>
              <w:rPr>
                <w:rFonts w:hint="eastAsia" w:ascii="宋体" w:hAnsi="宋体" w:eastAsia="宋体" w:cs="Times New Roman"/>
                <w:color w:val="auto"/>
                <w:kern w:val="0"/>
                <w:sz w:val="24"/>
                <w:szCs w:val="24"/>
                <w:highlight w:val="none"/>
                <w:lang w:val="en-US" w:eastAsia="zh-CN"/>
              </w:rPr>
              <w:t>招标</w:t>
            </w:r>
            <w:r>
              <w:rPr>
                <w:rFonts w:hint="eastAsia" w:ascii="宋体" w:hAnsi="宋体" w:eastAsia="宋体" w:cs="Times New Roman"/>
                <w:color w:val="auto"/>
                <w:kern w:val="0"/>
                <w:sz w:val="24"/>
                <w:szCs w:val="24"/>
                <w:highlight w:val="none"/>
              </w:rPr>
              <w:t>文件条款及附件（含图纸</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清单</w:t>
            </w:r>
            <w:r>
              <w:rPr>
                <w:rFonts w:hint="eastAsia" w:ascii="宋体" w:hAnsi="宋体" w:eastAsia="宋体" w:cs="Times New Roman"/>
                <w:color w:val="auto"/>
                <w:kern w:val="0"/>
                <w:sz w:val="24"/>
                <w:szCs w:val="24"/>
                <w:highlight w:val="none"/>
              </w:rPr>
              <w:t>等</w:t>
            </w:r>
            <w:r>
              <w:rPr>
                <w:rFonts w:hint="eastAsia" w:ascii="宋体" w:hAnsi="宋体" w:eastAsia="宋体" w:cs="Times New Roman"/>
                <w:color w:val="auto"/>
                <w:kern w:val="0"/>
                <w:sz w:val="24"/>
                <w:szCs w:val="24"/>
                <w:highlight w:val="none"/>
                <w:lang w:val="en-US" w:eastAsia="zh-CN"/>
              </w:rPr>
              <w:t>一切内容</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的</w:t>
            </w:r>
            <w:r>
              <w:rPr>
                <w:rFonts w:hint="eastAsia" w:ascii="宋体" w:hAnsi="宋体" w:eastAsia="宋体" w:cs="Times New Roman"/>
                <w:color w:val="auto"/>
                <w:kern w:val="0"/>
                <w:sz w:val="24"/>
                <w:szCs w:val="24"/>
                <w:highlight w:val="none"/>
                <w:lang w:val="en-US" w:eastAsia="zh-CN"/>
              </w:rPr>
              <w:t>投标</w:t>
            </w:r>
            <w:r>
              <w:rPr>
                <w:rFonts w:hint="eastAsia" w:ascii="宋体" w:hAnsi="宋体" w:eastAsia="宋体" w:cs="Times New Roman"/>
                <w:color w:val="auto"/>
                <w:kern w:val="0"/>
                <w:sz w:val="24"/>
                <w:szCs w:val="24"/>
                <w:highlight w:val="none"/>
              </w:rPr>
              <w:t>文件和采购合同及取样检测报告（如需）进行整个项目的验收。如未通过验收，</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必须在验收之日起7天内整改至全面符合验收要求，并通过验收。（</w:t>
            </w:r>
            <w:r>
              <w:rPr>
                <w:rFonts w:hint="eastAsia" w:ascii="宋体" w:hAnsi="宋体" w:eastAsia="宋体" w:cs="Times New Roman"/>
                <w:color w:val="auto"/>
                <w:kern w:val="0"/>
                <w:sz w:val="24"/>
                <w:szCs w:val="24"/>
                <w:highlight w:val="none"/>
                <w:lang w:val="en-US" w:eastAsia="zh-CN"/>
              </w:rPr>
              <w:t>10</w:t>
            </w:r>
            <w:r>
              <w:rPr>
                <w:rFonts w:hint="eastAsia" w:ascii="宋体" w:hAnsi="宋体" w:eastAsia="宋体" w:cs="Times New Roman"/>
                <w:color w:val="auto"/>
                <w:kern w:val="0"/>
                <w:sz w:val="24"/>
                <w:szCs w:val="24"/>
                <w:highlight w:val="none"/>
              </w:rPr>
              <w:t>）若出现有关法律、法规和规章有强制性规定但本</w:t>
            </w:r>
            <w:r>
              <w:rPr>
                <w:rFonts w:hint="eastAsia" w:ascii="宋体" w:hAnsi="宋体" w:eastAsia="宋体" w:cs="Times New Roman"/>
                <w:color w:val="auto"/>
                <w:kern w:val="0"/>
                <w:sz w:val="24"/>
                <w:szCs w:val="24"/>
                <w:highlight w:val="none"/>
                <w:lang w:val="en-US" w:eastAsia="zh-CN"/>
              </w:rPr>
              <w:t>招标</w:t>
            </w:r>
            <w:r>
              <w:rPr>
                <w:rFonts w:hint="eastAsia" w:ascii="宋体" w:hAnsi="宋体" w:eastAsia="宋体" w:cs="Times New Roman"/>
                <w:color w:val="auto"/>
                <w:kern w:val="0"/>
                <w:sz w:val="24"/>
                <w:szCs w:val="24"/>
                <w:highlight w:val="none"/>
              </w:rPr>
              <w:t>文件未列明的情形，则</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应按照有关法律、法规和规章强制性规定执行。</w:t>
            </w:r>
            <w:r>
              <w:rPr>
                <w:rFonts w:hint="eastAsia" w:ascii="宋体" w:hAnsi="宋体" w:eastAsia="宋体" w:cs="Times New Roman"/>
                <w:color w:val="auto"/>
                <w:kern w:val="0"/>
                <w:sz w:val="24"/>
                <w:szCs w:val="24"/>
                <w:highlight w:val="none"/>
                <w:lang w:val="en-US" w:eastAsia="zh-CN"/>
              </w:rPr>
              <w:t>中标</w:t>
            </w:r>
            <w:r>
              <w:rPr>
                <w:rFonts w:hint="eastAsia" w:ascii="宋体" w:hAnsi="宋体" w:eastAsia="宋体" w:cs="Times New Roman"/>
                <w:color w:val="auto"/>
                <w:kern w:val="0"/>
                <w:sz w:val="24"/>
                <w:szCs w:val="24"/>
                <w:highlight w:val="none"/>
              </w:rPr>
              <w:t>后应向采购人提供其产品符合国家强制规定的证明材料。否则采购人有权视为验收 不合格。（</w:t>
            </w:r>
            <w:r>
              <w:rPr>
                <w:rFonts w:hint="eastAsia" w:ascii="宋体" w:hAnsi="宋体" w:eastAsia="宋体" w:cs="Times New Roman"/>
                <w:color w:val="auto"/>
                <w:kern w:val="0"/>
                <w:sz w:val="24"/>
                <w:szCs w:val="24"/>
                <w:highlight w:val="none"/>
                <w:lang w:val="en-US" w:eastAsia="zh-CN"/>
              </w:rPr>
              <w:t>11</w:t>
            </w:r>
            <w:r>
              <w:rPr>
                <w:rFonts w:hint="eastAsia" w:ascii="宋体" w:hAnsi="宋体" w:eastAsia="宋体" w:cs="Times New Roman"/>
                <w:color w:val="auto"/>
                <w:kern w:val="0"/>
                <w:sz w:val="24"/>
                <w:szCs w:val="24"/>
                <w:highlight w:val="none"/>
              </w:rPr>
              <w:t>）验收过程所发生的一切费用由</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承担。】</w:t>
            </w:r>
          </w:p>
        </w:tc>
      </w:tr>
      <w:tr w14:paraId="58C84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B0E52C3">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w:t>
            </w:r>
          </w:p>
        </w:tc>
        <w:tc>
          <w:tcPr>
            <w:tcW w:w="1276" w:type="dxa"/>
            <w:vAlign w:val="center"/>
          </w:tcPr>
          <w:p w14:paraId="16992380">
            <w:pPr>
              <w:spacing w:line="360" w:lineRule="auto"/>
              <w:jc w:val="center"/>
              <w:rPr>
                <w:rFonts w:ascii="宋体" w:hAnsi="宋体" w:eastAsia="宋体" w:cs="Times New Roman"/>
                <w:color w:val="auto"/>
                <w:sz w:val="24"/>
                <w:szCs w:val="24"/>
                <w:highlight w:val="none"/>
              </w:rPr>
            </w:pPr>
          </w:p>
        </w:tc>
        <w:tc>
          <w:tcPr>
            <w:tcW w:w="2390" w:type="dxa"/>
            <w:vAlign w:val="center"/>
          </w:tcPr>
          <w:p w14:paraId="25F8EF1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合同支付方式</w:t>
            </w:r>
          </w:p>
        </w:tc>
        <w:tc>
          <w:tcPr>
            <w:tcW w:w="4437" w:type="dxa"/>
            <w:vAlign w:val="center"/>
          </w:tcPr>
          <w:p w14:paraId="58F9225D">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lang w:val="en-US" w:eastAsia="zh-CN"/>
              </w:rPr>
              <w:t>具体详见“支付方式”要求</w:t>
            </w:r>
            <w:r>
              <w:rPr>
                <w:rFonts w:hint="eastAsia" w:ascii="宋体" w:hAnsi="宋体" w:eastAsia="宋体" w:cs="Times New Roman"/>
                <w:color w:val="auto"/>
                <w:kern w:val="0"/>
                <w:sz w:val="24"/>
                <w:szCs w:val="24"/>
                <w:highlight w:val="none"/>
              </w:rPr>
              <w:t>】，达到付款条件起【</w:t>
            </w:r>
            <w:r>
              <w:rPr>
                <w:rFonts w:hint="eastAsia" w:ascii="宋体" w:hAnsi="宋体" w:eastAsia="宋体" w:cs="Times New Roman"/>
                <w:color w:val="auto"/>
                <w:kern w:val="0"/>
                <w:sz w:val="24"/>
                <w:szCs w:val="24"/>
                <w:highlight w:val="none"/>
                <w:lang w:val="en-US" w:eastAsia="zh-CN"/>
              </w:rPr>
              <w:t>7</w:t>
            </w:r>
            <w:r>
              <w:rPr>
                <w:rFonts w:hint="eastAsia" w:ascii="宋体" w:hAnsi="宋体" w:eastAsia="宋体" w:cs="Times New Roman"/>
                <w:color w:val="auto"/>
                <w:kern w:val="0"/>
                <w:sz w:val="24"/>
                <w:szCs w:val="24"/>
                <w:highlight w:val="none"/>
              </w:rPr>
              <w:t>】日，支付合同总金额的【</w:t>
            </w:r>
            <w:r>
              <w:rPr>
                <w:rFonts w:hint="eastAsia" w:ascii="宋体" w:hAnsi="宋体" w:eastAsia="宋体" w:cs="Times New Roman"/>
                <w:color w:val="auto"/>
                <w:kern w:val="0"/>
                <w:sz w:val="24"/>
                <w:szCs w:val="24"/>
                <w:highlight w:val="none"/>
                <w:lang w:val="en-US" w:eastAsia="zh-CN"/>
              </w:rPr>
              <w:t>100</w:t>
            </w:r>
            <w:r>
              <w:rPr>
                <w:rFonts w:hint="eastAsia" w:ascii="宋体" w:hAnsi="宋体" w:eastAsia="宋体" w:cs="Times New Roman"/>
                <w:color w:val="auto"/>
                <w:kern w:val="0"/>
                <w:sz w:val="24"/>
                <w:szCs w:val="24"/>
                <w:highlight w:val="none"/>
              </w:rPr>
              <w:t>】%。</w:t>
            </w:r>
          </w:p>
        </w:tc>
      </w:tr>
      <w:tr w14:paraId="4FCC0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837F58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w:t>
            </w:r>
          </w:p>
        </w:tc>
        <w:tc>
          <w:tcPr>
            <w:tcW w:w="1276" w:type="dxa"/>
            <w:vAlign w:val="center"/>
          </w:tcPr>
          <w:p w14:paraId="6A093312">
            <w:pPr>
              <w:spacing w:line="360" w:lineRule="auto"/>
              <w:jc w:val="center"/>
              <w:rPr>
                <w:rFonts w:ascii="宋体" w:hAnsi="宋体" w:eastAsia="宋体" w:cs="Times New Roman"/>
                <w:color w:val="auto"/>
                <w:sz w:val="24"/>
                <w:szCs w:val="24"/>
                <w:highlight w:val="none"/>
              </w:rPr>
            </w:pPr>
          </w:p>
        </w:tc>
        <w:tc>
          <w:tcPr>
            <w:tcW w:w="2390" w:type="dxa"/>
            <w:shd w:val="clear" w:color="auto" w:fill="auto"/>
            <w:vAlign w:val="center"/>
          </w:tcPr>
          <w:p w14:paraId="10B9D791">
            <w:pPr>
              <w:spacing w:line="360" w:lineRule="auto"/>
              <w:jc w:val="center"/>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z w:val="24"/>
                <w:szCs w:val="24"/>
                <w:highlight w:val="none"/>
              </w:rPr>
              <w:t>履约保证金</w:t>
            </w:r>
          </w:p>
        </w:tc>
        <w:tc>
          <w:tcPr>
            <w:tcW w:w="4437" w:type="dxa"/>
            <w:shd w:val="clear" w:color="auto" w:fill="auto"/>
            <w:vAlign w:val="center"/>
          </w:tcPr>
          <w:p w14:paraId="5BB7032C">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缴纳：</w:t>
            </w:r>
          </w:p>
          <w:p w14:paraId="3197B3CF">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本采购包履约保证金为合同金额的【</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w:t>
            </w:r>
          </w:p>
          <w:p w14:paraId="58EE9B3A">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说明：</w:t>
            </w:r>
          </w:p>
          <w:p w14:paraId="752EE8DE">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收取时间：合同签订时提交。对符合规定的中小企业减半收取履约保证金。</w:t>
            </w:r>
          </w:p>
          <w:p w14:paraId="12A1D049">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退还时间：在合同履约完毕且无合同纠纷后5个工作日内向</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退清履约保证金。</w:t>
            </w:r>
          </w:p>
          <w:p w14:paraId="11A68AC5">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提交方式：允许</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自行选择提交履约保证金的方式。</w:t>
            </w:r>
          </w:p>
          <w:p w14:paraId="7AC340A2">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0"/>
                <w:sz w:val="24"/>
                <w:szCs w:val="24"/>
                <w:highlight w:val="none"/>
              </w:rPr>
              <w:t>不予退还的情形：</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未按合同约定承担违约责任的，采购人有权不予退还履约保证金。</w:t>
            </w:r>
          </w:p>
        </w:tc>
      </w:tr>
      <w:tr w14:paraId="57BD5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1" w:hRule="atLeast"/>
          <w:jc w:val="center"/>
        </w:trPr>
        <w:tc>
          <w:tcPr>
            <w:tcW w:w="893" w:type="dxa"/>
            <w:vAlign w:val="center"/>
          </w:tcPr>
          <w:p w14:paraId="2BBFCD0E">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w:t>
            </w:r>
          </w:p>
        </w:tc>
        <w:tc>
          <w:tcPr>
            <w:tcW w:w="1276" w:type="dxa"/>
            <w:vAlign w:val="center"/>
          </w:tcPr>
          <w:p w14:paraId="4414F390">
            <w:pPr>
              <w:spacing w:line="360" w:lineRule="auto"/>
              <w:jc w:val="center"/>
              <w:rPr>
                <w:rFonts w:ascii="宋体" w:hAnsi="宋体" w:eastAsia="宋体" w:cs="Times New Roman"/>
                <w:color w:val="auto"/>
                <w:sz w:val="24"/>
                <w:szCs w:val="24"/>
                <w:highlight w:val="none"/>
              </w:rPr>
            </w:pPr>
          </w:p>
        </w:tc>
        <w:tc>
          <w:tcPr>
            <w:tcW w:w="2390" w:type="dxa"/>
            <w:shd w:val="clear" w:color="auto" w:fill="auto"/>
            <w:vAlign w:val="center"/>
          </w:tcPr>
          <w:p w14:paraId="704BF924">
            <w:pPr>
              <w:spacing w:line="360" w:lineRule="auto"/>
              <w:jc w:val="center"/>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z w:val="24"/>
                <w:szCs w:val="24"/>
                <w:highlight w:val="none"/>
              </w:rPr>
              <w:t>其他</w:t>
            </w:r>
          </w:p>
        </w:tc>
        <w:tc>
          <w:tcPr>
            <w:tcW w:w="4437" w:type="dxa"/>
            <w:shd w:val="clear" w:color="auto" w:fill="auto"/>
            <w:vAlign w:val="center"/>
          </w:tcPr>
          <w:p w14:paraId="6C48172B">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本表由于系统限制编辑，若本章其他地方内容与本表内容不一致的，以其他地方表述内容为准。</w:t>
            </w:r>
          </w:p>
        </w:tc>
      </w:tr>
    </w:tbl>
    <w:p w14:paraId="5AFA33C5">
      <w:pPr>
        <w:spacing w:line="360" w:lineRule="auto"/>
        <w:ind w:firstLine="480" w:firstLineChars="200"/>
        <w:rPr>
          <w:rFonts w:asciiTheme="minorEastAsia" w:hAnsiTheme="minorEastAsia"/>
          <w:color w:val="auto"/>
          <w:sz w:val="24"/>
          <w:szCs w:val="28"/>
          <w:highlight w:val="none"/>
        </w:rPr>
      </w:pPr>
    </w:p>
    <w:p w14:paraId="67AEBD2E">
      <w:pPr>
        <w:spacing w:line="360" w:lineRule="auto"/>
        <w:ind w:firstLine="482" w:firstLineChars="200"/>
        <w:rPr>
          <w:rFonts w:asciiTheme="minorEastAsia" w:hAnsiTheme="minorEastAsia"/>
          <w:b/>
          <w:color w:val="auto"/>
          <w:sz w:val="24"/>
          <w:szCs w:val="28"/>
          <w:highlight w:val="none"/>
        </w:rPr>
      </w:pPr>
      <w:r>
        <w:rPr>
          <w:rFonts w:asciiTheme="minorEastAsia" w:hAnsiTheme="minorEastAsia"/>
          <w:b/>
          <w:color w:val="auto"/>
          <w:sz w:val="24"/>
          <w:szCs w:val="28"/>
          <w:highlight w:val="none"/>
        </w:rPr>
        <w:t>其他商务要求</w:t>
      </w:r>
    </w:p>
    <w:p w14:paraId="79CE9597">
      <w:pPr>
        <w:spacing w:line="360" w:lineRule="auto"/>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8、售后服务要求</w:t>
      </w:r>
    </w:p>
    <w:p w14:paraId="3D95AD5E">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w:t>
      </w:r>
      <w:r>
        <w:rPr>
          <w:rFonts w:hint="eastAsia" w:cs="宋体" w:asciiTheme="minorEastAsia" w:hAnsiTheme="minorEastAsia"/>
          <w:b w:val="0"/>
          <w:bCs w:val="0"/>
          <w:color w:val="auto"/>
          <w:kern w:val="0"/>
          <w:sz w:val="24"/>
          <w:szCs w:val="24"/>
          <w:highlight w:val="none"/>
        </w:rPr>
        <w:t>.1</w:t>
      </w:r>
      <w:r>
        <w:rPr>
          <w:rFonts w:hint="eastAsia" w:cs="宋体" w:asciiTheme="minorEastAsia" w:hAnsiTheme="minorEastAsia"/>
          <w:b w:val="0"/>
          <w:bCs w:val="0"/>
          <w:color w:val="auto"/>
          <w:kern w:val="0"/>
          <w:sz w:val="24"/>
          <w:szCs w:val="24"/>
          <w:highlight w:val="none"/>
          <w:lang w:val="en-US" w:eastAsia="zh-CN"/>
        </w:rPr>
        <w:t>.</w:t>
      </w:r>
      <w:r>
        <w:rPr>
          <w:rFonts w:hint="eastAsia" w:cs="宋体" w:asciiTheme="minorEastAsia" w:hAnsiTheme="minorEastAsia"/>
          <w:b w:val="0"/>
          <w:bCs w:val="0"/>
          <w:color w:val="auto"/>
          <w:kern w:val="0"/>
          <w:sz w:val="24"/>
          <w:szCs w:val="24"/>
          <w:highlight w:val="none"/>
        </w:rPr>
        <w:t>★</w:t>
      </w:r>
      <w:r>
        <w:rPr>
          <w:rFonts w:hint="eastAsia" w:cs="宋体" w:asciiTheme="minorEastAsia" w:hAnsiTheme="minorEastAsia"/>
          <w:b w:val="0"/>
          <w:bCs w:val="0"/>
          <w:color w:val="auto"/>
          <w:kern w:val="0"/>
          <w:sz w:val="24"/>
          <w:szCs w:val="24"/>
          <w:highlight w:val="none"/>
          <w:lang w:val="en-US" w:eastAsia="zh-CN"/>
        </w:rPr>
        <w:t>本项目整体免费质保期不得少于1年，自项目</w:t>
      </w:r>
      <w:r>
        <w:rPr>
          <w:rFonts w:hint="eastAsia" w:cs="宋体" w:asciiTheme="minorEastAsia" w:hAnsiTheme="minorEastAsia"/>
          <w:b w:val="0"/>
          <w:bCs w:val="0"/>
          <w:color w:val="auto"/>
          <w:kern w:val="0"/>
          <w:sz w:val="24"/>
          <w:szCs w:val="24"/>
          <w:highlight w:val="none"/>
        </w:rPr>
        <w:t>经</w:t>
      </w:r>
      <w:r>
        <w:rPr>
          <w:rFonts w:hint="eastAsia" w:cs="宋体" w:asciiTheme="minorEastAsia" w:hAnsiTheme="minorEastAsia"/>
          <w:b w:val="0"/>
          <w:bCs w:val="0"/>
          <w:color w:val="auto"/>
          <w:kern w:val="0"/>
          <w:sz w:val="24"/>
          <w:szCs w:val="24"/>
          <w:highlight w:val="none"/>
          <w:lang w:val="en-US" w:eastAsia="zh-CN"/>
        </w:rPr>
        <w:t>竣工</w:t>
      </w:r>
      <w:r>
        <w:rPr>
          <w:rFonts w:hint="eastAsia" w:cs="宋体" w:asciiTheme="minorEastAsia" w:hAnsiTheme="minorEastAsia"/>
          <w:b w:val="0"/>
          <w:bCs w:val="0"/>
          <w:color w:val="auto"/>
          <w:kern w:val="0"/>
          <w:sz w:val="24"/>
          <w:szCs w:val="24"/>
          <w:highlight w:val="none"/>
        </w:rPr>
        <w:t>验收合格</w:t>
      </w:r>
      <w:r>
        <w:rPr>
          <w:rFonts w:hint="eastAsia" w:cs="宋体" w:asciiTheme="minorEastAsia" w:hAnsiTheme="minorEastAsia"/>
          <w:b w:val="0"/>
          <w:bCs w:val="0"/>
          <w:color w:val="auto"/>
          <w:kern w:val="0"/>
          <w:sz w:val="24"/>
          <w:szCs w:val="24"/>
          <w:highlight w:val="none"/>
          <w:lang w:val="en-US" w:eastAsia="zh-CN"/>
        </w:rPr>
        <w:t>起计算。采购清单中“设备部分”的货物要求提供设备原厂免费维保</w:t>
      </w:r>
      <w:r>
        <w:rPr>
          <w:rFonts w:hint="eastAsia" w:cs="宋体" w:asciiTheme="minorEastAsia" w:hAnsiTheme="minorEastAsia"/>
          <w:b w:val="0"/>
          <w:bCs w:val="0"/>
          <w:color w:val="auto"/>
          <w:kern w:val="0"/>
          <w:sz w:val="24"/>
          <w:szCs w:val="24"/>
          <w:highlight w:val="none"/>
        </w:rPr>
        <w:t>。</w:t>
      </w:r>
    </w:p>
    <w:p w14:paraId="71F5180D">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8.2.</w:t>
      </w:r>
      <w:r>
        <w:rPr>
          <w:rFonts w:hint="eastAsia" w:cs="宋体" w:asciiTheme="minorEastAsia" w:hAnsiTheme="minorEastAsia"/>
          <w:b w:val="0"/>
          <w:bCs w:val="0"/>
          <w:color w:val="auto"/>
          <w:kern w:val="0"/>
          <w:sz w:val="24"/>
          <w:szCs w:val="24"/>
          <w:highlight w:val="none"/>
        </w:rPr>
        <w:t>在质量保证期内设备运行发生故障时，中标人在接到采购人故障通知后2小时内回应，委派专业技术人员到现场免费提供咨询、维修和更换零部件等服务，并及时填写维修报告（包括故障原因、处理情况及采购人意见等）报采购人备案，若48小时内无法排除故障，则应先提供同档次备用机供采购人使用。其中发生一切费用由中标人承担。质量保证期内中标人有责任对设备进行不定期的巡查检修。投标人视自身能力在投标文件中提供更优、更合理的维修服务承诺。</w:t>
      </w:r>
    </w:p>
    <w:p w14:paraId="76356EE5">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8.3.</w:t>
      </w:r>
      <w:r>
        <w:rPr>
          <w:rFonts w:hint="eastAsia" w:cs="宋体" w:asciiTheme="minorEastAsia" w:hAnsiTheme="minorEastAsia"/>
          <w:b w:val="0"/>
          <w:bCs w:val="0"/>
          <w:color w:val="auto"/>
          <w:kern w:val="0"/>
          <w:sz w:val="24"/>
          <w:szCs w:val="24"/>
          <w:highlight w:val="none"/>
        </w:rPr>
        <w:t>质保期满前1个月内</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应就所有货物进行一次全面检查，并写出正式报告，如发现潜在问题，应负责排除。如出现质量问题，在质保期内对货物进行维修和零配件的更换。</w:t>
      </w:r>
    </w:p>
    <w:p w14:paraId="65B29354">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8.4.</w:t>
      </w:r>
      <w:r>
        <w:rPr>
          <w:rFonts w:hint="eastAsia" w:cs="宋体" w:asciiTheme="minorEastAsia" w:hAnsiTheme="minorEastAsia"/>
          <w:b w:val="0"/>
          <w:bCs w:val="0"/>
          <w:color w:val="auto"/>
          <w:kern w:val="0"/>
          <w:sz w:val="24"/>
          <w:szCs w:val="24"/>
          <w:highlight w:val="none"/>
        </w:rPr>
        <w:t>质保期内，</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应提供免费的技术支持和技术升级服务。主要培训内容包括货物及主要部件的基本构造、功能、安装、调试、日常操作、实验项目、保养与管理、常见故障的排除、紧急情况的处理等。</w:t>
      </w:r>
    </w:p>
    <w:p w14:paraId="7E3F5BD5">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8.5.</w:t>
      </w:r>
      <w:r>
        <w:rPr>
          <w:rFonts w:hint="eastAsia" w:cs="宋体" w:asciiTheme="minorEastAsia" w:hAnsiTheme="minorEastAsia"/>
          <w:b w:val="0"/>
          <w:bCs w:val="0"/>
          <w:color w:val="auto"/>
          <w:kern w:val="0"/>
          <w:sz w:val="24"/>
          <w:szCs w:val="24"/>
          <w:highlight w:val="none"/>
        </w:rPr>
        <w:t>质保期后技术服务内容：质保期满后，</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仍应提供定期维护和修理，维修仅收取零配件费用。</w:t>
      </w:r>
    </w:p>
    <w:p w14:paraId="1FAC0C14">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8.6.</w:t>
      </w:r>
      <w:r>
        <w:rPr>
          <w:rFonts w:hint="eastAsia" w:cs="宋体" w:asciiTheme="minorEastAsia" w:hAnsiTheme="minorEastAsia"/>
          <w:b w:val="0"/>
          <w:bCs w:val="0"/>
          <w:color w:val="auto"/>
          <w:kern w:val="0"/>
          <w:sz w:val="24"/>
          <w:szCs w:val="24"/>
          <w:highlight w:val="none"/>
        </w:rPr>
        <w:t>投标人所投产品的制造标准、安装标准及技术规范等有关资料必须符合现行我国相应的有关标准、规范要求。</w:t>
      </w:r>
    </w:p>
    <w:p w14:paraId="1F174A89">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8.7.</w:t>
      </w:r>
      <w:r>
        <w:rPr>
          <w:rFonts w:hint="eastAsia" w:cs="宋体" w:asciiTheme="minorEastAsia" w:hAnsiTheme="minorEastAsia"/>
          <w:b w:val="0"/>
          <w:bCs w:val="0"/>
          <w:color w:val="auto"/>
          <w:kern w:val="0"/>
          <w:sz w:val="24"/>
          <w:szCs w:val="24"/>
          <w:highlight w:val="none"/>
        </w:rPr>
        <w:t>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必须保证提供原产、正宗品 牌产品，不得用假冒及伪劣产品替代；如出现</w:t>
      </w:r>
      <w:r>
        <w:rPr>
          <w:rFonts w:hint="eastAsia" w:cs="宋体" w:asciiTheme="minorEastAsia" w:hAnsiTheme="minorEastAsia"/>
          <w:b w:val="0"/>
          <w:bCs w:val="0"/>
          <w:color w:val="auto"/>
          <w:kern w:val="0"/>
          <w:sz w:val="24"/>
          <w:szCs w:val="24"/>
          <w:highlight w:val="none"/>
          <w:lang w:val="en-US" w:eastAsia="zh-CN"/>
        </w:rPr>
        <w:t>上述</w:t>
      </w:r>
      <w:r>
        <w:rPr>
          <w:rFonts w:hint="eastAsia" w:cs="宋体" w:asciiTheme="minorEastAsia" w:hAnsiTheme="minorEastAsia"/>
          <w:b w:val="0"/>
          <w:bCs w:val="0"/>
          <w:color w:val="auto"/>
          <w:kern w:val="0"/>
          <w:sz w:val="24"/>
          <w:szCs w:val="24"/>
          <w:highlight w:val="none"/>
        </w:rPr>
        <w:t>质量问题采购人有权退货；造成损失的，采购人可要求中标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给予赔偿。</w:t>
      </w:r>
    </w:p>
    <w:p w14:paraId="5E5236FB">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8.8.</w:t>
      </w:r>
      <w:r>
        <w:rPr>
          <w:rFonts w:hint="eastAsia" w:cs="宋体" w:asciiTheme="minorEastAsia" w:hAnsiTheme="minorEastAsia"/>
          <w:b w:val="0"/>
          <w:bCs w:val="0"/>
          <w:color w:val="auto"/>
          <w:kern w:val="0"/>
          <w:sz w:val="24"/>
          <w:szCs w:val="24"/>
          <w:highlight w:val="none"/>
        </w:rPr>
        <w:t>运输：由中标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对所提供的产品按国家有关标准要求进行包装，并选择安全可靠的运输方式运抵工程施工现场，途中安全及费用全部由中标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负责，运抵现场后由中标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自行保管。</w:t>
      </w:r>
    </w:p>
    <w:p w14:paraId="59A36C3E">
      <w:pPr>
        <w:spacing w:line="360" w:lineRule="auto"/>
        <w:ind w:firstLine="480" w:firstLineChars="200"/>
        <w:jc w:val="left"/>
        <w:rPr>
          <w:rFonts w:hint="eastAsia" w:cs="宋体" w:asciiTheme="minorEastAsia" w:hAnsiTheme="minorEastAsia" w:eastAsiaTheme="minorEastAsia"/>
          <w:b w:val="0"/>
          <w:bCs w:val="0"/>
          <w:color w:val="auto"/>
          <w:kern w:val="0"/>
          <w:sz w:val="24"/>
          <w:szCs w:val="24"/>
          <w:highlight w:val="none"/>
          <w:lang w:eastAsia="zh-CN"/>
        </w:rPr>
      </w:pPr>
      <w:r>
        <w:rPr>
          <w:rFonts w:hint="eastAsia" w:cs="宋体" w:asciiTheme="minorEastAsia" w:hAnsiTheme="minorEastAsia"/>
          <w:b w:val="0"/>
          <w:bCs w:val="0"/>
          <w:color w:val="auto"/>
          <w:kern w:val="0"/>
          <w:sz w:val="24"/>
          <w:szCs w:val="24"/>
          <w:highlight w:val="none"/>
        </w:rPr>
        <w:t>8.</w:t>
      </w:r>
      <w:r>
        <w:rPr>
          <w:rFonts w:hint="eastAsia" w:cs="宋体" w:asciiTheme="minorEastAsia" w:hAnsiTheme="minorEastAsia"/>
          <w:b w:val="0"/>
          <w:bCs w:val="0"/>
          <w:color w:val="auto"/>
          <w:kern w:val="0"/>
          <w:sz w:val="24"/>
          <w:szCs w:val="24"/>
          <w:highlight w:val="none"/>
          <w:lang w:val="en-US" w:eastAsia="zh-CN"/>
        </w:rPr>
        <w:t>9.</w:t>
      </w:r>
      <w:r>
        <w:rPr>
          <w:rFonts w:hint="eastAsia" w:cs="宋体" w:asciiTheme="minorEastAsia" w:hAnsiTheme="minorEastAsia"/>
          <w:b w:val="0"/>
          <w:bCs w:val="0"/>
          <w:color w:val="auto"/>
          <w:kern w:val="0"/>
          <w:sz w:val="24"/>
          <w:szCs w:val="24"/>
          <w:highlight w:val="none"/>
        </w:rPr>
        <w:t>保修期内，因</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原因造成工程的缺陷、损坏，</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应负责修复，并承担修复的费用以及因工程的缺陷、损坏造成的人身伤害和财产损失</w:t>
      </w:r>
      <w:r>
        <w:rPr>
          <w:rFonts w:hint="eastAsia" w:cs="宋体" w:asciiTheme="minorEastAsia" w:hAnsiTheme="minorEastAsia"/>
          <w:b w:val="0"/>
          <w:bCs w:val="0"/>
          <w:color w:val="auto"/>
          <w:kern w:val="0"/>
          <w:sz w:val="24"/>
          <w:szCs w:val="24"/>
          <w:highlight w:val="none"/>
          <w:lang w:eastAsia="zh-CN"/>
        </w:rPr>
        <w:t>。</w:t>
      </w:r>
    </w:p>
    <w:p w14:paraId="2E1617AC">
      <w:pPr>
        <w:spacing w:line="360" w:lineRule="auto"/>
        <w:ind w:firstLine="480" w:firstLineChars="200"/>
        <w:jc w:val="left"/>
        <w:rPr>
          <w:rFonts w:hint="eastAsia" w:cs="宋体" w:asciiTheme="minorEastAsia" w:hAnsiTheme="minorEastAsia"/>
          <w:b w:val="0"/>
          <w:bCs w:val="0"/>
          <w:color w:val="auto"/>
          <w:kern w:val="0"/>
          <w:sz w:val="24"/>
          <w:szCs w:val="24"/>
          <w:highlight w:val="none"/>
        </w:rPr>
      </w:pPr>
    </w:p>
    <w:p w14:paraId="6F23382D">
      <w:pPr>
        <w:spacing w:line="360" w:lineRule="auto"/>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9</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报价要求</w:t>
      </w:r>
    </w:p>
    <w:p w14:paraId="194F1E27">
      <w:pPr>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.★本项目设有最高限价，最高限价为人民币XXXX元（¥元），投标人的投标报价超过最高限价的，投标无效。</w:t>
      </w:r>
    </w:p>
    <w:p w14:paraId="019F7722">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9.2.</w:t>
      </w:r>
      <w:r>
        <w:rPr>
          <w:rFonts w:hint="eastAsia" w:ascii="宋体" w:hAnsi="宋体" w:eastAsia="宋体" w:cs="宋体"/>
          <w:b w:val="0"/>
          <w:bCs w:val="0"/>
          <w:color w:val="auto"/>
          <w:kern w:val="0"/>
          <w:sz w:val="24"/>
          <w:szCs w:val="24"/>
          <w:highlight w:val="none"/>
        </w:rPr>
        <w:t>本项目为</w:t>
      </w:r>
      <w:r>
        <w:rPr>
          <w:rFonts w:hint="eastAsia" w:ascii="宋体" w:hAnsi="宋体" w:eastAsia="宋体" w:cs="宋体"/>
          <w:b w:val="0"/>
          <w:bCs w:val="0"/>
          <w:color w:val="auto"/>
          <w:kern w:val="0"/>
          <w:sz w:val="24"/>
          <w:szCs w:val="24"/>
          <w:highlight w:val="none"/>
          <w:lang w:val="en-US" w:eastAsia="zh-CN"/>
        </w:rPr>
        <w:t>交钥匙项目</w:t>
      </w:r>
      <w:r>
        <w:rPr>
          <w:rFonts w:hint="eastAsia" w:ascii="宋体" w:hAnsi="宋体" w:eastAsia="宋体" w:cs="宋体"/>
          <w:b w:val="0"/>
          <w:bCs w:val="0"/>
          <w:color w:val="auto"/>
          <w:kern w:val="0"/>
          <w:sz w:val="24"/>
          <w:szCs w:val="24"/>
          <w:highlight w:val="none"/>
        </w:rPr>
        <w:t>，投标人响应时对本项目所有的内容必须完整响应，否则将视为无效投标。</w:t>
      </w:r>
    </w:p>
    <w:p w14:paraId="66029FD3">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报价应以人民币为货币单位，应分单价、小计和总价。</w:t>
      </w:r>
    </w:p>
    <w:p w14:paraId="774CF87D">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9.4.</w:t>
      </w:r>
      <w:r>
        <w:rPr>
          <w:rFonts w:hint="eastAsia" w:ascii="宋体" w:hAnsi="宋体" w:eastAsia="宋体" w:cs="宋体"/>
          <w:b w:val="0"/>
          <w:bCs w:val="0"/>
          <w:color w:val="auto"/>
          <w:kern w:val="0"/>
          <w:sz w:val="24"/>
          <w:szCs w:val="24"/>
          <w:highlight w:val="none"/>
        </w:rPr>
        <w:t>投标人应充分考虑交货施工期间价格上涨及市场销售价格上涨的风险，且该项风险费在报价中充分考虑。</w:t>
      </w:r>
      <w:r>
        <w:rPr>
          <w:rFonts w:hint="eastAsia" w:ascii="宋体" w:hAnsi="宋体" w:eastAsia="宋体" w:cs="宋体"/>
          <w:b w:val="0"/>
          <w:bCs w:val="0"/>
          <w:color w:val="auto"/>
          <w:kern w:val="0"/>
          <w:sz w:val="24"/>
          <w:szCs w:val="24"/>
          <w:highlight w:val="none"/>
          <w:lang w:val="en-US" w:eastAsia="zh-CN"/>
        </w:rPr>
        <w:t>中标</w:t>
      </w:r>
      <w:r>
        <w:rPr>
          <w:rFonts w:hint="eastAsia" w:ascii="宋体" w:hAnsi="宋体" w:eastAsia="宋体" w:cs="宋体"/>
          <w:b w:val="0"/>
          <w:bCs w:val="0"/>
          <w:color w:val="auto"/>
          <w:kern w:val="0"/>
          <w:sz w:val="24"/>
          <w:szCs w:val="24"/>
          <w:highlight w:val="none"/>
        </w:rPr>
        <w:t>人需负责</w:t>
      </w:r>
      <w:r>
        <w:rPr>
          <w:rFonts w:hint="eastAsia" w:ascii="宋体" w:hAnsi="宋体" w:eastAsia="宋体" w:cs="宋体"/>
          <w:b w:val="0"/>
          <w:bCs w:val="0"/>
          <w:color w:val="auto"/>
          <w:kern w:val="0"/>
          <w:sz w:val="24"/>
          <w:szCs w:val="24"/>
          <w:highlight w:val="none"/>
          <w:lang w:val="en-US" w:eastAsia="zh-CN"/>
        </w:rPr>
        <w:t>项目实施过程中</w:t>
      </w:r>
      <w:r>
        <w:rPr>
          <w:rFonts w:hint="eastAsia" w:ascii="宋体" w:hAnsi="宋体" w:eastAsia="宋体" w:cs="宋体"/>
          <w:b w:val="0"/>
          <w:bCs w:val="0"/>
          <w:color w:val="auto"/>
          <w:kern w:val="0"/>
          <w:sz w:val="24"/>
          <w:szCs w:val="24"/>
          <w:highlight w:val="none"/>
        </w:rPr>
        <w:t>与项目相关部门的所有协调工作，保证项目如期验收通过并投入使用。若因此给</w:t>
      </w:r>
      <w:r>
        <w:rPr>
          <w:rFonts w:hint="eastAsia" w:ascii="宋体" w:hAnsi="宋体" w:eastAsia="宋体" w:cs="宋体"/>
          <w:b w:val="0"/>
          <w:bCs w:val="0"/>
          <w:color w:val="auto"/>
          <w:kern w:val="0"/>
          <w:sz w:val="24"/>
          <w:szCs w:val="24"/>
          <w:highlight w:val="none"/>
          <w:lang w:val="en-US" w:eastAsia="zh-CN"/>
        </w:rPr>
        <w:t>采购人</w:t>
      </w:r>
      <w:r>
        <w:rPr>
          <w:rFonts w:hint="eastAsia" w:ascii="宋体" w:hAnsi="宋体" w:eastAsia="宋体" w:cs="宋体"/>
          <w:b w:val="0"/>
          <w:bCs w:val="0"/>
          <w:color w:val="auto"/>
          <w:kern w:val="0"/>
          <w:sz w:val="24"/>
          <w:szCs w:val="24"/>
          <w:highlight w:val="none"/>
        </w:rPr>
        <w:t>造成损失，均由</w:t>
      </w:r>
      <w:r>
        <w:rPr>
          <w:rFonts w:hint="eastAsia" w:ascii="宋体" w:hAnsi="宋体" w:eastAsia="宋体" w:cs="宋体"/>
          <w:b w:val="0"/>
          <w:bCs w:val="0"/>
          <w:color w:val="auto"/>
          <w:kern w:val="0"/>
          <w:sz w:val="24"/>
          <w:szCs w:val="24"/>
          <w:highlight w:val="none"/>
          <w:lang w:val="en-US" w:eastAsia="zh-CN"/>
        </w:rPr>
        <w:t>中标人</w:t>
      </w:r>
      <w:r>
        <w:rPr>
          <w:rFonts w:hint="eastAsia" w:ascii="宋体" w:hAnsi="宋体" w:eastAsia="宋体" w:cs="宋体"/>
          <w:b w:val="0"/>
          <w:bCs w:val="0"/>
          <w:color w:val="auto"/>
          <w:kern w:val="0"/>
          <w:sz w:val="24"/>
          <w:szCs w:val="24"/>
          <w:highlight w:val="none"/>
        </w:rPr>
        <w:t>负责。</w:t>
      </w:r>
    </w:p>
    <w:p w14:paraId="2BBCE3AE">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9.5.★</w:t>
      </w:r>
      <w:r>
        <w:rPr>
          <w:rFonts w:hint="eastAsia" w:ascii="宋体" w:hAnsi="宋体" w:eastAsia="宋体" w:cs="宋体"/>
          <w:b w:val="0"/>
          <w:bCs w:val="0"/>
          <w:color w:val="auto"/>
          <w:kern w:val="0"/>
          <w:sz w:val="24"/>
          <w:szCs w:val="24"/>
          <w:highlight w:val="none"/>
        </w:rPr>
        <w:t>投标总价为</w:t>
      </w:r>
      <w:r>
        <w:rPr>
          <w:rFonts w:hint="eastAsia" w:ascii="宋体" w:hAnsi="宋体" w:eastAsia="宋体" w:cs="宋体"/>
          <w:b w:val="0"/>
          <w:bCs w:val="0"/>
          <w:color w:val="auto"/>
          <w:kern w:val="0"/>
          <w:sz w:val="24"/>
          <w:szCs w:val="24"/>
          <w:highlight w:val="none"/>
          <w:lang w:val="en-US" w:eastAsia="zh-CN"/>
        </w:rPr>
        <w:t>招标</w:t>
      </w:r>
      <w:r>
        <w:rPr>
          <w:rFonts w:hint="eastAsia" w:ascii="宋体" w:hAnsi="宋体" w:eastAsia="宋体" w:cs="宋体"/>
          <w:b w:val="0"/>
          <w:bCs w:val="0"/>
          <w:color w:val="auto"/>
          <w:kern w:val="0"/>
          <w:sz w:val="24"/>
          <w:szCs w:val="24"/>
          <w:highlight w:val="none"/>
        </w:rPr>
        <w:t>清单中所列项目及其附属所需要的全部工作内容，经采购人和有关职能部门竣工验收直至保修期结束所有可能发生的费用，投标报价包括但不限于以下费用：材料费、设备费、安装费、施工费、</w:t>
      </w:r>
      <w:r>
        <w:rPr>
          <w:rFonts w:hint="eastAsia" w:ascii="宋体" w:hAnsi="宋体" w:eastAsia="宋体" w:cs="宋体"/>
          <w:b w:val="0"/>
          <w:bCs w:val="0"/>
          <w:color w:val="auto"/>
          <w:kern w:val="0"/>
          <w:sz w:val="24"/>
          <w:szCs w:val="24"/>
          <w:highlight w:val="none"/>
          <w:lang w:val="en-US" w:eastAsia="zh-CN"/>
        </w:rPr>
        <w:t>施工临时便道费、围挡费、</w:t>
      </w:r>
      <w:r>
        <w:rPr>
          <w:rFonts w:hint="eastAsia" w:ascii="宋体" w:hAnsi="宋体" w:eastAsia="宋体" w:cs="宋体"/>
          <w:b w:val="0"/>
          <w:bCs w:val="0"/>
          <w:color w:val="auto"/>
          <w:kern w:val="0"/>
          <w:sz w:val="24"/>
          <w:szCs w:val="24"/>
          <w:highlight w:val="none"/>
        </w:rPr>
        <w:t>工程措施费、安全生产和文明施工费、包装费、运输费、保险费、装车费、卸车费、保修费、管线恢复费、工程行政规费与税费、管理费、风险费、招标代理费、检测费（含第三方检测）、验收费（含系统调试并经</w:t>
      </w:r>
      <w:r>
        <w:rPr>
          <w:rFonts w:hint="eastAsia" w:ascii="宋体" w:hAnsi="宋体" w:eastAsia="宋体" w:cs="宋体"/>
          <w:b w:val="0"/>
          <w:bCs w:val="0"/>
          <w:color w:val="auto"/>
          <w:kern w:val="0"/>
          <w:sz w:val="24"/>
          <w:szCs w:val="24"/>
          <w:highlight w:val="none"/>
          <w:lang w:val="en-US" w:eastAsia="zh-CN"/>
        </w:rPr>
        <w:t>主管</w:t>
      </w:r>
      <w:r>
        <w:rPr>
          <w:rFonts w:hint="eastAsia" w:ascii="宋体" w:hAnsi="宋体" w:eastAsia="宋体" w:cs="宋体"/>
          <w:b w:val="0"/>
          <w:bCs w:val="0"/>
          <w:color w:val="auto"/>
          <w:kern w:val="0"/>
          <w:sz w:val="24"/>
          <w:szCs w:val="24"/>
          <w:highlight w:val="none"/>
        </w:rPr>
        <w:t>部门验收合格）、技术指导及保修服务（含保修期内的上门服务、可能少报漏报的细目及</w:t>
      </w:r>
      <w:r>
        <w:rPr>
          <w:rFonts w:hint="eastAsia" w:ascii="宋体" w:hAnsi="宋体" w:eastAsia="宋体" w:cs="宋体"/>
          <w:b w:val="0"/>
          <w:bCs w:val="0"/>
          <w:color w:val="auto"/>
          <w:kern w:val="0"/>
          <w:sz w:val="24"/>
          <w:szCs w:val="24"/>
          <w:highlight w:val="none"/>
          <w:lang w:val="en-US" w:eastAsia="zh-CN"/>
        </w:rPr>
        <w:t>招标</w:t>
      </w:r>
      <w:r>
        <w:rPr>
          <w:rFonts w:hint="eastAsia" w:ascii="宋体" w:hAnsi="宋体" w:eastAsia="宋体" w:cs="宋体"/>
          <w:b w:val="0"/>
          <w:bCs w:val="0"/>
          <w:color w:val="auto"/>
          <w:kern w:val="0"/>
          <w:sz w:val="24"/>
          <w:szCs w:val="24"/>
          <w:highlight w:val="none"/>
        </w:rPr>
        <w:t>文件的特别规定等一切费用。投标人须于投标文件中提供承诺书。</w:t>
      </w:r>
    </w:p>
    <w:p w14:paraId="78047FCE">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9.6.</w:t>
      </w:r>
      <w:r>
        <w:rPr>
          <w:rFonts w:hint="eastAsia" w:ascii="宋体" w:hAnsi="宋体" w:eastAsia="宋体" w:cs="宋体"/>
          <w:b w:val="0"/>
          <w:bCs w:val="0"/>
          <w:color w:val="auto"/>
          <w:kern w:val="0"/>
          <w:sz w:val="24"/>
          <w:szCs w:val="24"/>
          <w:highlight w:val="none"/>
        </w:rPr>
        <w:t>因施工现场涉及用地问题，可能涉及供货或施工数量增减，结算时，以实际供应数量与中标单价进行结算，各投标人对此不得有异议，并将此风险考虑在投标报价中。</w:t>
      </w:r>
    </w:p>
    <w:p w14:paraId="3B6D1ED8">
      <w:pPr>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9.7.如因项目变化需要，当采购人对项目采购数量、内容变更时，中标供应 商应接受因变更而引起的供货数量增减，而不影响单价的变更。其供货总价按中标单价和实际供货数量进行结算。</w:t>
      </w:r>
    </w:p>
    <w:p w14:paraId="7DFA15FE">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9.8.</w:t>
      </w:r>
      <w:r>
        <w:rPr>
          <w:rFonts w:hint="eastAsia" w:ascii="宋体" w:hAnsi="宋体" w:eastAsia="宋体" w:cs="宋体"/>
          <w:b w:val="0"/>
          <w:bCs w:val="0"/>
          <w:color w:val="auto"/>
          <w:kern w:val="0"/>
          <w:sz w:val="24"/>
          <w:szCs w:val="24"/>
          <w:highlight w:val="none"/>
        </w:rPr>
        <w:t>工程竣工结算经采购人审核后报送区财政审核部门审核，区财政审核部门审核数为本项目最终工程结算数。</w:t>
      </w:r>
    </w:p>
    <w:p w14:paraId="083227F0">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投标人漏报的单价或每单价报价中漏报、少报的费用，视为此项费用已隐含在总报价中，中标后不得再向采购人收取任何费用。</w:t>
      </w:r>
    </w:p>
    <w:p w14:paraId="0EE16A27">
      <w:pPr>
        <w:spacing w:line="360" w:lineRule="auto"/>
        <w:ind w:firstLine="480" w:firstLineChars="200"/>
        <w:jc w:val="left"/>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10.</w:t>
      </w:r>
      <w:r>
        <w:rPr>
          <w:rFonts w:hint="eastAsia" w:ascii="宋体" w:hAnsi="宋体" w:eastAsia="宋体" w:cs="宋体"/>
          <w:b w:val="0"/>
          <w:bCs w:val="0"/>
          <w:color w:val="auto"/>
          <w:kern w:val="0"/>
          <w:sz w:val="24"/>
          <w:szCs w:val="24"/>
          <w:highlight w:val="none"/>
        </w:rPr>
        <w:t>投标人对每一种货物只能有一个报价，采购单位不接受有选择的报价。</w:t>
      </w:r>
    </w:p>
    <w:p w14:paraId="3A32DBB0">
      <w:pPr>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10.支付方式</w:t>
      </w:r>
    </w:p>
    <w:p w14:paraId="5F41D77D">
      <w:pPr>
        <w:spacing w:line="360" w:lineRule="auto"/>
        <w:ind w:firstLine="480" w:firstLineChars="2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10.1.本项目设有预付款，预付款比例为合同价款总额的20%；预付款在进度款中100%优先扣回，扣完为止。</w:t>
      </w:r>
    </w:p>
    <w:p w14:paraId="0023B3CE">
      <w:pPr>
        <w:spacing w:line="360" w:lineRule="auto"/>
        <w:ind w:firstLine="480" w:firstLineChars="2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w:t>
      </w:r>
      <w:r>
        <w:rPr>
          <w:rFonts w:hint="default" w:ascii="宋体" w:hAnsi="宋体" w:eastAsia="宋体" w:cs="宋体"/>
          <w:b w:val="0"/>
          <w:bCs w:val="0"/>
          <w:color w:val="auto"/>
          <w:kern w:val="0"/>
          <w:sz w:val="24"/>
          <w:szCs w:val="24"/>
          <w:highlight w:val="none"/>
          <w:lang w:val="en-US" w:eastAsia="zh-CN"/>
        </w:rPr>
        <w:t>付款条件：中标</w:t>
      </w:r>
      <w:r>
        <w:rPr>
          <w:rFonts w:hint="eastAsia" w:ascii="宋体" w:hAnsi="宋体" w:eastAsia="宋体" w:cs="宋体"/>
          <w:b w:val="0"/>
          <w:bCs w:val="0"/>
          <w:color w:val="auto"/>
          <w:kern w:val="0"/>
          <w:sz w:val="24"/>
          <w:szCs w:val="24"/>
          <w:highlight w:val="none"/>
          <w:lang w:val="en-US" w:eastAsia="zh-CN"/>
        </w:rPr>
        <w:t>人</w:t>
      </w:r>
      <w:r>
        <w:rPr>
          <w:rFonts w:hint="default" w:ascii="宋体" w:hAnsi="宋体" w:eastAsia="宋体" w:cs="宋体"/>
          <w:b w:val="0"/>
          <w:bCs w:val="0"/>
          <w:color w:val="auto"/>
          <w:kern w:val="0"/>
          <w:sz w:val="24"/>
          <w:szCs w:val="24"/>
          <w:highlight w:val="none"/>
          <w:lang w:val="en-US" w:eastAsia="zh-CN"/>
        </w:rPr>
        <w:t>要求付款前应提交下列单证和文件。①与付款金额同等额的正式增值税专用发票。②制造厂家出具的货物质量合格证书。③</w:t>
      </w:r>
      <w:r>
        <w:rPr>
          <w:rFonts w:hint="eastAsia" w:ascii="宋体" w:hAnsi="宋体" w:eastAsia="宋体" w:cs="宋体"/>
          <w:b w:val="0"/>
          <w:bCs w:val="0"/>
          <w:color w:val="auto"/>
          <w:kern w:val="0"/>
          <w:sz w:val="24"/>
          <w:szCs w:val="24"/>
          <w:highlight w:val="none"/>
          <w:lang w:val="en-US" w:eastAsia="zh-CN"/>
        </w:rPr>
        <w:t>采购人</w:t>
      </w:r>
      <w:r>
        <w:rPr>
          <w:rFonts w:hint="default" w:ascii="宋体" w:hAnsi="宋体" w:eastAsia="宋体" w:cs="宋体"/>
          <w:b w:val="0"/>
          <w:bCs w:val="0"/>
          <w:color w:val="auto"/>
          <w:kern w:val="0"/>
          <w:sz w:val="24"/>
          <w:szCs w:val="24"/>
          <w:highlight w:val="none"/>
          <w:lang w:val="en-US" w:eastAsia="zh-CN"/>
        </w:rPr>
        <w:t>、监理单位签发的验收合格文件及经监理单位审批的支付款申请。</w:t>
      </w:r>
    </w:p>
    <w:p w14:paraId="1D98A8E5">
      <w:pPr>
        <w:spacing w:line="360" w:lineRule="auto"/>
        <w:ind w:firstLine="480" w:firstLineChars="2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w:t>
      </w:r>
      <w:r>
        <w:rPr>
          <w:rFonts w:hint="default" w:ascii="宋体" w:hAnsi="宋体" w:eastAsia="宋体" w:cs="宋体"/>
          <w:b w:val="0"/>
          <w:bCs w:val="0"/>
          <w:color w:val="auto"/>
          <w:kern w:val="0"/>
          <w:sz w:val="24"/>
          <w:szCs w:val="24"/>
          <w:highlight w:val="none"/>
          <w:lang w:val="en-US" w:eastAsia="zh-CN"/>
        </w:rPr>
        <w:t>工程款支付：</w:t>
      </w:r>
    </w:p>
    <w:p w14:paraId="1BA8E412">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10.2.1.</w:t>
      </w:r>
      <w:r>
        <w:rPr>
          <w:rFonts w:hint="default" w:ascii="宋体" w:hAnsi="宋体" w:eastAsia="宋体" w:cs="宋体"/>
          <w:b w:val="0"/>
          <w:bCs w:val="0"/>
          <w:color w:val="auto"/>
          <w:kern w:val="0"/>
          <w:sz w:val="24"/>
          <w:szCs w:val="24"/>
          <w:highlight w:val="none"/>
          <w:lang w:val="en-US" w:eastAsia="zh-CN"/>
        </w:rPr>
        <w:t>中标人根据施工进度申请支付工程款，工程款达不到 50万元不予支付。</w:t>
      </w:r>
    </w:p>
    <w:p w14:paraId="1919BD2F">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10.2.2.</w:t>
      </w:r>
      <w:r>
        <w:rPr>
          <w:rFonts w:hint="default" w:ascii="宋体" w:hAnsi="宋体" w:eastAsia="宋体" w:cs="宋体"/>
          <w:b w:val="0"/>
          <w:bCs w:val="0"/>
          <w:color w:val="auto"/>
          <w:kern w:val="0"/>
          <w:sz w:val="24"/>
          <w:szCs w:val="24"/>
          <w:highlight w:val="none"/>
          <w:lang w:val="en-US" w:eastAsia="zh-CN"/>
        </w:rPr>
        <w:t xml:space="preserve">监理工程师接到当月进度款报告后5个工作日内予以审核确认，采购人在监理工程师审核确认后5个工作日内予以审核。 </w:t>
      </w:r>
    </w:p>
    <w:p w14:paraId="22A970E9">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10.2.3.</w:t>
      </w:r>
      <w:r>
        <w:rPr>
          <w:rFonts w:hint="default" w:ascii="宋体" w:hAnsi="宋体" w:eastAsia="宋体" w:cs="宋体"/>
          <w:b w:val="0"/>
          <w:bCs w:val="0"/>
          <w:color w:val="auto"/>
          <w:kern w:val="0"/>
          <w:sz w:val="24"/>
          <w:szCs w:val="24"/>
          <w:highlight w:val="none"/>
          <w:lang w:val="en-US" w:eastAsia="zh-CN"/>
        </w:rPr>
        <w:t xml:space="preserve">银行转账方式支付工程进度款，在扣除工程保留金20%后，每次实际银行转账方式支付工程进度款额为当期进度款的80%。 </w:t>
      </w:r>
    </w:p>
    <w:p w14:paraId="43799F47">
      <w:pPr>
        <w:spacing w:line="360" w:lineRule="auto"/>
        <w:ind w:firstLine="720" w:firstLineChars="3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10.2.4.</w:t>
      </w:r>
      <w:r>
        <w:rPr>
          <w:rFonts w:hint="default" w:ascii="宋体" w:hAnsi="宋体" w:eastAsia="宋体" w:cs="宋体"/>
          <w:b w:val="0"/>
          <w:bCs w:val="0"/>
          <w:color w:val="auto"/>
          <w:kern w:val="0"/>
          <w:sz w:val="24"/>
          <w:szCs w:val="24"/>
          <w:highlight w:val="none"/>
          <w:lang w:val="en-US" w:eastAsia="zh-CN"/>
        </w:rPr>
        <w:t>进度款支付累计达到合同价款(扣除暂列金额)的80%时，停止支付进度款</w:t>
      </w:r>
      <w:r>
        <w:rPr>
          <w:rFonts w:hint="eastAsia" w:ascii="宋体" w:hAnsi="宋体" w:eastAsia="宋体" w:cs="宋体"/>
          <w:b w:val="0"/>
          <w:bCs w:val="0"/>
          <w:color w:val="auto"/>
          <w:kern w:val="0"/>
          <w:sz w:val="24"/>
          <w:szCs w:val="24"/>
          <w:highlight w:val="none"/>
          <w:lang w:val="en-US" w:eastAsia="zh-CN"/>
        </w:rPr>
        <w:t>；</w:t>
      </w:r>
    </w:p>
    <w:p w14:paraId="71CB7A63">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10.2.5.</w:t>
      </w:r>
      <w:r>
        <w:rPr>
          <w:rFonts w:hint="default" w:ascii="宋体" w:hAnsi="宋体" w:eastAsia="宋体" w:cs="宋体"/>
          <w:b w:val="0"/>
          <w:bCs w:val="0"/>
          <w:color w:val="auto"/>
          <w:kern w:val="0"/>
          <w:sz w:val="24"/>
          <w:szCs w:val="24"/>
          <w:highlight w:val="none"/>
          <w:lang w:val="en-US" w:eastAsia="zh-CN"/>
        </w:rPr>
        <w:t>采购人在市(区)财政审核部门出具竣工结算审核结论书且移交完成后28天内按审核结果支付至结算价的9</w:t>
      </w:r>
      <w:r>
        <w:rPr>
          <w:rFonts w:hint="eastAsia" w:ascii="宋体" w:hAnsi="宋体" w:eastAsia="宋体" w:cs="宋体"/>
          <w:b w:val="0"/>
          <w:bCs w:val="0"/>
          <w:color w:val="auto"/>
          <w:kern w:val="0"/>
          <w:sz w:val="24"/>
          <w:szCs w:val="24"/>
          <w:highlight w:val="none"/>
          <w:lang w:val="en-US" w:eastAsia="zh-CN"/>
        </w:rPr>
        <w:t>7</w:t>
      </w:r>
      <w:r>
        <w:rPr>
          <w:rFonts w:hint="default" w:ascii="宋体" w:hAnsi="宋体" w:eastAsia="宋体" w:cs="宋体"/>
          <w:b w:val="0"/>
          <w:bCs w:val="0"/>
          <w:color w:val="auto"/>
          <w:kern w:val="0"/>
          <w:sz w:val="24"/>
          <w:szCs w:val="24"/>
          <w:highlight w:val="none"/>
          <w:lang w:val="en-US" w:eastAsia="zh-CN"/>
        </w:rPr>
        <w:t>%。</w:t>
      </w:r>
    </w:p>
    <w:p w14:paraId="33704BF1">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10.2.6.</w:t>
      </w:r>
      <w:r>
        <w:rPr>
          <w:rFonts w:hint="default" w:ascii="宋体" w:hAnsi="宋体" w:eastAsia="宋体" w:cs="宋体"/>
          <w:b w:val="0"/>
          <w:bCs w:val="0"/>
          <w:color w:val="auto"/>
          <w:kern w:val="0"/>
          <w:sz w:val="24"/>
          <w:szCs w:val="24"/>
          <w:highlight w:val="none"/>
          <w:lang w:val="en-US" w:eastAsia="zh-CN"/>
        </w:rPr>
        <w:t>余款在保修期满后28天内一次性结清。以上款项需财政相关资金到达采购人账户后14个工作日内支付，</w:t>
      </w:r>
      <w:r>
        <w:rPr>
          <w:rFonts w:hint="eastAsia" w:ascii="宋体" w:hAnsi="宋体" w:eastAsia="宋体" w:cs="宋体"/>
          <w:b w:val="0"/>
          <w:bCs w:val="0"/>
          <w:color w:val="auto"/>
          <w:kern w:val="0"/>
          <w:sz w:val="24"/>
          <w:szCs w:val="24"/>
          <w:highlight w:val="none"/>
          <w:lang w:val="en-US" w:eastAsia="zh-CN"/>
        </w:rPr>
        <w:t>中标人</w:t>
      </w:r>
      <w:r>
        <w:rPr>
          <w:rFonts w:hint="default" w:ascii="宋体" w:hAnsi="宋体" w:eastAsia="宋体" w:cs="宋体"/>
          <w:b w:val="0"/>
          <w:bCs w:val="0"/>
          <w:color w:val="auto"/>
          <w:kern w:val="0"/>
          <w:sz w:val="24"/>
          <w:szCs w:val="24"/>
          <w:highlight w:val="none"/>
          <w:lang w:val="en-US" w:eastAsia="zh-CN"/>
        </w:rPr>
        <w:t>不得以款项未到位为由消极怠工，拖延工期。</w:t>
      </w:r>
    </w:p>
    <w:p w14:paraId="65C250DC">
      <w:pPr>
        <w:spacing w:line="360" w:lineRule="auto"/>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、商务条件响应要求</w:t>
      </w:r>
    </w:p>
    <w:p w14:paraId="77DA9E8D">
      <w:pPr>
        <w:spacing w:line="360" w:lineRule="auto"/>
        <w:ind w:firstLine="480" w:firstLineChars="200"/>
        <w:jc w:val="left"/>
        <w:rPr>
          <w:rFonts w:cs="宋体" w:asciiTheme="minorEastAsia" w:hAnsiTheme="minorEastAsia"/>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.1</w:t>
      </w:r>
      <w:r>
        <w:rPr>
          <w:rFonts w:hint="eastAsia" w:cs="宋体" w:asciiTheme="minorEastAsia" w:hAnsiTheme="minorEastAsia"/>
          <w:bCs/>
          <w:color w:val="auto"/>
          <w:kern w:val="0"/>
          <w:sz w:val="24"/>
          <w:szCs w:val="24"/>
          <w:highlight w:val="none"/>
        </w:rPr>
        <w:t>投标人应根据商务条件要求及商务项评分条款提供相应的交付时间、售后服务、认证等证书、业绩经验，</w:t>
      </w:r>
      <w:r>
        <w:rPr>
          <w:rFonts w:hint="eastAsia" w:ascii="宋体" w:hAnsi="宋体" w:eastAsia="宋体"/>
          <w:color w:val="auto"/>
          <w:sz w:val="24"/>
          <w:szCs w:val="28"/>
          <w:highlight w:val="none"/>
        </w:rPr>
        <w:t>并按要求提供相应的佐证材料，</w:t>
      </w:r>
      <w:r>
        <w:rPr>
          <w:rFonts w:hint="eastAsia" w:cs="宋体" w:asciiTheme="minorEastAsia" w:hAnsiTheme="minorEastAsia"/>
          <w:bCs/>
          <w:color w:val="auto"/>
          <w:kern w:val="0"/>
          <w:sz w:val="24"/>
          <w:szCs w:val="24"/>
          <w:highlight w:val="none"/>
        </w:rPr>
        <w:t>未按要求提供的将可能导致不得分。</w:t>
      </w:r>
    </w:p>
    <w:p w14:paraId="2BB34FE7">
      <w:pPr>
        <w:spacing w:line="360" w:lineRule="auto"/>
        <w:ind w:firstLine="480" w:firstLineChars="200"/>
        <w:rPr>
          <w:rFonts w:asciiTheme="minorEastAsia" w:hAnsiTheme="minorEastAsia"/>
          <w:color w:val="auto"/>
          <w:sz w:val="24"/>
          <w:szCs w:val="28"/>
          <w:highlight w:val="none"/>
        </w:rPr>
      </w:pPr>
    </w:p>
    <w:p w14:paraId="54ACD69B">
      <w:pPr>
        <w:spacing w:line="360" w:lineRule="auto"/>
        <w:jc w:val="left"/>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补充条款：</w:t>
      </w:r>
    </w:p>
    <w:p w14:paraId="2DF03417">
      <w:pPr>
        <w:spacing w:line="360" w:lineRule="auto"/>
        <w:jc w:val="left"/>
        <w:rPr>
          <w:rFonts w:ascii="楷体" w:hAnsi="楷体" w:eastAsia="楷体" w:cs="宋体"/>
          <w:b/>
          <w:color w:val="auto"/>
          <w:kern w:val="0"/>
          <w:sz w:val="32"/>
          <w:szCs w:val="24"/>
          <w:highlight w:val="none"/>
        </w:rPr>
      </w:pPr>
      <w:r>
        <w:rPr>
          <w:rFonts w:hint="eastAsia" w:ascii="楷体" w:hAnsi="楷体" w:eastAsia="楷体" w:cs="宋体"/>
          <w:b/>
          <w:color w:val="auto"/>
          <w:kern w:val="0"/>
          <w:sz w:val="32"/>
          <w:szCs w:val="24"/>
          <w:highlight w:val="none"/>
        </w:rPr>
        <w:t>说明：本补充条款为招标文件组成部分，补充条款内容与招标文件其他地方内容不一致的，以本补充条款内容为准。请投标人仔细阅读。</w:t>
      </w:r>
      <w:r>
        <w:rPr>
          <w:rFonts w:ascii="楷体" w:hAnsi="楷体" w:eastAsia="楷体" w:cs="宋体"/>
          <w:b/>
          <w:color w:val="auto"/>
          <w:kern w:val="0"/>
          <w:sz w:val="32"/>
          <w:szCs w:val="24"/>
          <w:highlight w:val="none"/>
        </w:rPr>
        <w:t xml:space="preserve"> </w:t>
      </w:r>
    </w:p>
    <w:p w14:paraId="03C0EE74">
      <w:pPr>
        <w:spacing w:line="360" w:lineRule="auto"/>
        <w:rPr>
          <w:rFonts w:ascii="黑体" w:hAnsi="黑体" w:eastAsia="黑体"/>
          <w:b/>
          <w:color w:val="auto"/>
          <w:sz w:val="32"/>
          <w:szCs w:val="32"/>
          <w:highlight w:val="none"/>
        </w:rPr>
      </w:pPr>
      <w:bookmarkStart w:id="22" w:name="_Toc100307865"/>
      <w:r>
        <w:rPr>
          <w:rFonts w:hint="eastAsia" w:ascii="黑体" w:hAnsi="黑体" w:eastAsia="黑体"/>
          <w:b/>
          <w:color w:val="auto"/>
          <w:sz w:val="32"/>
          <w:szCs w:val="32"/>
          <w:highlight w:val="none"/>
        </w:rPr>
        <w:t>一、对《第二章  投标人须知前附表》的内容补充如下：</w:t>
      </w:r>
      <w:bookmarkEnd w:id="22"/>
    </w:p>
    <w:p w14:paraId="269C7C1B">
      <w:pPr>
        <w:spacing w:line="360" w:lineRule="auto"/>
        <w:jc w:val="center"/>
        <w:rPr>
          <w:rFonts w:ascii="黑体" w:hAnsi="黑体" w:eastAsia="黑体" w:cs="宋体"/>
          <w:b/>
          <w:color w:val="auto"/>
          <w:kern w:val="0"/>
          <w:sz w:val="28"/>
          <w:szCs w:val="24"/>
          <w:highlight w:val="none"/>
        </w:rPr>
      </w:pPr>
      <w:r>
        <w:rPr>
          <w:rFonts w:hint="eastAsia" w:ascii="黑体" w:hAnsi="黑体" w:eastAsia="黑体" w:cs="宋体"/>
          <w:b/>
          <w:color w:val="auto"/>
          <w:kern w:val="0"/>
          <w:sz w:val="28"/>
          <w:szCs w:val="24"/>
          <w:highlight w:val="none"/>
        </w:rPr>
        <w:t>一、投标人须知前附表1</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14:paraId="21A6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853B1B7">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项号</w:t>
            </w:r>
          </w:p>
        </w:tc>
        <w:tc>
          <w:tcPr>
            <w:tcW w:w="1401" w:type="dxa"/>
            <w:vAlign w:val="center"/>
          </w:tcPr>
          <w:p w14:paraId="6D668164">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招标文件</w:t>
            </w:r>
          </w:p>
          <w:p w14:paraId="44D8421C">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（第三章）</w:t>
            </w:r>
          </w:p>
        </w:tc>
        <w:tc>
          <w:tcPr>
            <w:tcW w:w="6999" w:type="dxa"/>
            <w:vAlign w:val="center"/>
          </w:tcPr>
          <w:p w14:paraId="2F77E743">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编列内容</w:t>
            </w:r>
          </w:p>
        </w:tc>
      </w:tr>
      <w:tr w14:paraId="04B0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2BE15D7">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8</w:t>
            </w:r>
          </w:p>
        </w:tc>
        <w:tc>
          <w:tcPr>
            <w:tcW w:w="1401" w:type="dxa"/>
            <w:vAlign w:val="center"/>
          </w:tcPr>
          <w:p w14:paraId="78BFE88B">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15.1-（2）</w:t>
            </w:r>
          </w:p>
        </w:tc>
        <w:tc>
          <w:tcPr>
            <w:tcW w:w="6999" w:type="dxa"/>
          </w:tcPr>
          <w:p w14:paraId="41DE61AF">
            <w:pPr>
              <w:spacing w:line="360" w:lineRule="auto"/>
              <w:jc w:val="left"/>
              <w:rPr>
                <w:rFonts w:ascii="宋体" w:hAnsi="宋体" w:eastAsia="宋体" w:cs="宋体"/>
                <w:b/>
                <w:bCs/>
                <w:color w:val="auto"/>
                <w:kern w:val="0"/>
                <w:sz w:val="24"/>
                <w:szCs w:val="20"/>
                <w:highlight w:val="none"/>
              </w:rPr>
            </w:pPr>
            <w:r>
              <w:rPr>
                <w:rFonts w:ascii="宋体" w:hAnsi="宋体" w:eastAsia="宋体" w:cs="宋体"/>
                <w:b/>
                <w:bCs/>
                <w:color w:val="auto"/>
                <w:kern w:val="0"/>
                <w:sz w:val="24"/>
                <w:szCs w:val="20"/>
                <w:highlight w:val="none"/>
              </w:rPr>
              <w:t>质疑函应采用下列方式之一提交：</w:t>
            </w:r>
          </w:p>
          <w:p w14:paraId="6913470D">
            <w:pPr>
              <w:spacing w:line="360" w:lineRule="auto"/>
              <w:jc w:val="left"/>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（1）邮件形式：将质疑函原件扫描发送至邮箱：17536728@qq.com</w:t>
            </w:r>
            <w:r>
              <w:rPr>
                <w:rFonts w:hint="eastAsia" w:ascii="宋体" w:hAnsi="宋体" w:eastAsia="宋体" w:cs="Times New Roman"/>
                <w:color w:val="auto"/>
                <w:kern w:val="0"/>
                <w:sz w:val="24"/>
                <w:szCs w:val="20"/>
                <w:highlight w:val="none"/>
              </w:rPr>
              <w:t>。收到质疑函的时间以邮箱显示的收到时间为准。质疑答复过程中需要核对原件的，质疑人应提供原件核查，否则相关资料可能不被认可。</w:t>
            </w:r>
          </w:p>
          <w:p w14:paraId="1A9927C6">
            <w:pPr>
              <w:spacing w:line="360" w:lineRule="auto"/>
              <w:jc w:val="left"/>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（2）快递形式：</w:t>
            </w:r>
            <w:r>
              <w:rPr>
                <w:rFonts w:hint="eastAsia" w:ascii="宋体" w:hAnsi="宋体" w:eastAsia="宋体" w:cs="宋体"/>
                <w:bCs/>
                <w:color w:val="auto"/>
                <w:kern w:val="0"/>
                <w:sz w:val="24"/>
                <w:szCs w:val="20"/>
                <w:highlight w:val="none"/>
              </w:rPr>
              <w:t>将质疑函原件快递至</w:t>
            </w:r>
            <w:r>
              <w:rPr>
                <w:rFonts w:hint="eastAsia" w:ascii="宋体" w:hAnsi="宋体" w:eastAsia="宋体" w:cs="宋体"/>
                <w:bCs/>
                <w:color w:val="auto"/>
                <w:kern w:val="0"/>
                <w:sz w:val="24"/>
                <w:szCs w:val="20"/>
                <w:highlight w:val="none"/>
                <w:lang w:eastAsia="zh-CN"/>
              </w:rPr>
              <w:t>厦门市湖里区东黄路215号海西金融广场A栋17层1710</w:t>
            </w:r>
            <w:r>
              <w:rPr>
                <w:rFonts w:hint="eastAsia" w:ascii="宋体" w:hAnsi="宋体" w:eastAsia="宋体" w:cs="宋体"/>
                <w:bCs/>
                <w:color w:val="auto"/>
                <w:kern w:val="0"/>
                <w:sz w:val="24"/>
                <w:szCs w:val="20"/>
                <w:highlight w:val="none"/>
              </w:rPr>
              <w:t>，收件人：</w:t>
            </w:r>
            <w:r>
              <w:rPr>
                <w:rFonts w:hint="eastAsia" w:ascii="宋体" w:hAnsi="宋体" w:eastAsia="宋体" w:cs="宋体"/>
                <w:bCs/>
                <w:color w:val="auto"/>
                <w:kern w:val="0"/>
                <w:sz w:val="24"/>
                <w:szCs w:val="20"/>
                <w:highlight w:val="none"/>
                <w:lang w:val="en-US" w:eastAsia="zh-CN"/>
              </w:rPr>
              <w:t>王女士</w:t>
            </w:r>
            <w:r>
              <w:rPr>
                <w:rFonts w:hint="eastAsia" w:ascii="宋体" w:hAnsi="宋体" w:eastAsia="宋体" w:cs="宋体"/>
                <w:bCs/>
                <w:color w:val="auto"/>
                <w:kern w:val="0"/>
                <w:sz w:val="24"/>
                <w:szCs w:val="20"/>
                <w:highlight w:val="none"/>
              </w:rPr>
              <w:t>，电话：</w:t>
            </w:r>
            <w:r>
              <w:rPr>
                <w:rFonts w:hint="eastAsia" w:ascii="宋体" w:hAnsi="宋体" w:eastAsia="宋体" w:cs="宋体"/>
                <w:bCs/>
                <w:color w:val="auto"/>
                <w:kern w:val="0"/>
                <w:sz w:val="24"/>
                <w:szCs w:val="20"/>
                <w:highlight w:val="none"/>
                <w:lang w:val="en-US" w:eastAsia="zh-CN"/>
              </w:rPr>
              <w:t>0592-5733307</w:t>
            </w:r>
            <w:r>
              <w:rPr>
                <w:rFonts w:hint="eastAsia" w:ascii="宋体" w:hAnsi="宋体" w:eastAsia="宋体" w:cs="宋体"/>
                <w:bCs/>
                <w:color w:val="auto"/>
                <w:kern w:val="0"/>
                <w:sz w:val="24"/>
                <w:szCs w:val="20"/>
                <w:highlight w:val="none"/>
              </w:rPr>
              <w:t>。收到质疑函的时间以快递签收时间为准</w:t>
            </w:r>
            <w:r>
              <w:rPr>
                <w:rFonts w:hint="eastAsia" w:ascii="宋体" w:hAnsi="宋体" w:eastAsia="宋体" w:cs="Times New Roman"/>
                <w:color w:val="auto"/>
                <w:kern w:val="0"/>
                <w:sz w:val="24"/>
                <w:szCs w:val="20"/>
                <w:highlight w:val="none"/>
              </w:rPr>
              <w:t>。</w:t>
            </w:r>
          </w:p>
          <w:p w14:paraId="5E9A957B">
            <w:pPr>
              <w:spacing w:line="360" w:lineRule="auto"/>
              <w:jc w:val="left"/>
              <w:rPr>
                <w:rFonts w:ascii="宋体" w:hAnsi="宋体" w:eastAsia="宋体" w:cs="Times New Roman"/>
                <w:color w:val="auto"/>
                <w:kern w:val="0"/>
                <w:sz w:val="24"/>
                <w:szCs w:val="20"/>
                <w:highlight w:val="none"/>
              </w:rPr>
            </w:pPr>
            <w:r>
              <w:rPr>
                <w:rFonts w:hint="eastAsia" w:ascii="宋体" w:hAnsi="宋体" w:eastAsia="宋体" w:cs="宋体"/>
                <w:color w:val="auto"/>
                <w:kern w:val="0"/>
                <w:sz w:val="24"/>
                <w:szCs w:val="20"/>
                <w:highlight w:val="none"/>
              </w:rPr>
              <w:t>（3）现场送达：将质疑函原件现场送至</w:t>
            </w:r>
            <w:r>
              <w:rPr>
                <w:rFonts w:hint="eastAsia" w:ascii="宋体" w:hAnsi="宋体" w:eastAsia="宋体" w:cs="宋体"/>
                <w:color w:val="auto"/>
                <w:kern w:val="0"/>
                <w:sz w:val="24"/>
                <w:szCs w:val="20"/>
                <w:highlight w:val="none"/>
                <w:lang w:eastAsia="zh-CN"/>
              </w:rPr>
              <w:t>厦门市湖里区东黄路215号海西金融广场A栋17层1710</w:t>
            </w:r>
            <w:r>
              <w:rPr>
                <w:rFonts w:hint="eastAsia" w:ascii="宋体" w:hAnsi="宋体" w:eastAsia="宋体" w:cs="宋体"/>
                <w:color w:val="auto"/>
                <w:kern w:val="0"/>
                <w:sz w:val="24"/>
                <w:szCs w:val="20"/>
                <w:highlight w:val="none"/>
              </w:rPr>
              <w:t>。收到质疑函的时间以</w:t>
            </w:r>
            <w:r>
              <w:rPr>
                <w:rFonts w:hint="eastAsia" w:ascii="宋体" w:hAnsi="宋体" w:eastAsia="宋体" w:cs="宋体"/>
                <w:color w:val="auto"/>
                <w:kern w:val="0"/>
                <w:sz w:val="24"/>
                <w:szCs w:val="20"/>
                <w:highlight w:val="none"/>
                <w:lang w:val="en-US" w:eastAsia="zh-CN"/>
              </w:rPr>
              <w:t>代理机构工作人员</w:t>
            </w:r>
            <w:r>
              <w:rPr>
                <w:rFonts w:hint="eastAsia" w:ascii="宋体" w:hAnsi="宋体" w:eastAsia="宋体" w:cs="宋体"/>
                <w:color w:val="auto"/>
                <w:kern w:val="0"/>
                <w:sz w:val="24"/>
                <w:szCs w:val="20"/>
                <w:highlight w:val="none"/>
              </w:rPr>
              <w:t>签收时间为准。</w:t>
            </w:r>
          </w:p>
          <w:p w14:paraId="2ACA8EA7">
            <w:pPr>
              <w:spacing w:line="360" w:lineRule="auto"/>
              <w:jc w:val="left"/>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注：提交质疑函须附上系统报名截图，质疑函须符合第三章第15条质疑的要求。</w:t>
            </w:r>
          </w:p>
        </w:tc>
      </w:tr>
      <w:tr w14:paraId="32FA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868B09D">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12</w:t>
            </w:r>
          </w:p>
        </w:tc>
        <w:tc>
          <w:tcPr>
            <w:tcW w:w="1401" w:type="dxa"/>
            <w:vAlign w:val="center"/>
          </w:tcPr>
          <w:p w14:paraId="07C872B5">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19</w:t>
            </w:r>
          </w:p>
        </w:tc>
        <w:tc>
          <w:tcPr>
            <w:tcW w:w="6999" w:type="dxa"/>
          </w:tcPr>
          <w:p w14:paraId="1D44EE60">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本项目的核心产品为：</w:t>
            </w:r>
          </w:p>
          <w:p w14:paraId="6FB3D3A2">
            <w:pPr>
              <w:spacing w:line="360" w:lineRule="auto"/>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rPr>
              <w:t>采购包1：翻板闸</w:t>
            </w:r>
          </w:p>
          <w:p w14:paraId="6A63BB98">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注：多家投标人提供的核心产品中有任意一个对应产品品牌相同的，按照第四章第6.4条第（2）款第①、②规定处理。</w:t>
            </w:r>
          </w:p>
        </w:tc>
      </w:tr>
    </w:tbl>
    <w:p w14:paraId="5DF18834">
      <w:pPr>
        <w:spacing w:line="360" w:lineRule="auto"/>
        <w:jc w:val="left"/>
        <w:rPr>
          <w:rFonts w:ascii="宋体" w:hAnsi="宋体" w:eastAsia="宋体" w:cs="宋体"/>
          <w:color w:val="auto"/>
          <w:kern w:val="0"/>
          <w:sz w:val="18"/>
          <w:szCs w:val="18"/>
          <w:highlight w:val="none"/>
        </w:rPr>
      </w:pPr>
    </w:p>
    <w:p w14:paraId="52961BEB">
      <w:pPr>
        <w:spacing w:line="360" w:lineRule="auto"/>
        <w:rPr>
          <w:rFonts w:ascii="黑体" w:hAnsi="黑体" w:eastAsia="黑体"/>
          <w:b/>
          <w:color w:val="auto"/>
          <w:sz w:val="32"/>
          <w:szCs w:val="32"/>
          <w:highlight w:val="none"/>
        </w:rPr>
      </w:pPr>
      <w:bookmarkStart w:id="23" w:name="_Toc100307866"/>
      <w:r>
        <w:rPr>
          <w:rFonts w:hint="eastAsia" w:ascii="黑体" w:hAnsi="黑体" w:eastAsia="黑体"/>
          <w:b/>
          <w:color w:val="auto"/>
          <w:sz w:val="32"/>
          <w:szCs w:val="32"/>
          <w:highlight w:val="none"/>
        </w:rPr>
        <w:t>二、对《第三章  投标人须知》的内容补充如下：</w:t>
      </w:r>
      <w:bookmarkEnd w:id="23"/>
    </w:p>
    <w:p w14:paraId="1BE92BAC">
      <w:pPr>
        <w:spacing w:line="360" w:lineRule="auto"/>
        <w:rPr>
          <w:rFonts w:ascii="黑体" w:hAnsi="黑体" w:eastAsia="黑体"/>
          <w:b/>
          <w:color w:val="auto"/>
          <w:sz w:val="32"/>
          <w:szCs w:val="32"/>
          <w:highlight w:val="none"/>
        </w:rPr>
      </w:pPr>
      <w:bookmarkStart w:id="24" w:name="_Toc100307867"/>
      <w:r>
        <w:rPr>
          <w:rFonts w:hint="eastAsia" w:ascii="黑体" w:hAnsi="黑体" w:eastAsia="黑体"/>
          <w:b/>
          <w:color w:val="auto"/>
          <w:sz w:val="32"/>
          <w:szCs w:val="32"/>
          <w:highlight w:val="none"/>
        </w:rPr>
        <w:t>（一）《八、政府采购政策》内容补充如下：</w:t>
      </w:r>
      <w:bookmarkEnd w:id="24"/>
    </w:p>
    <w:p w14:paraId="570EA66D">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预留份额专门面向中小企业采购要求：</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14:paraId="2837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0724D907">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中型、小型、微型企业界定</w:t>
            </w:r>
          </w:p>
        </w:tc>
        <w:tc>
          <w:tcPr>
            <w:tcW w:w="7193" w:type="dxa"/>
            <w:vAlign w:val="center"/>
          </w:tcPr>
          <w:p w14:paraId="1BF3DCDF">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详见第三章第17.3条的相关规定。</w:t>
            </w:r>
          </w:p>
        </w:tc>
      </w:tr>
      <w:tr w14:paraId="3C4C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03EB97B8">
            <w:pPr>
              <w:spacing w:line="360" w:lineRule="auto"/>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需满足的条件</w:t>
            </w:r>
          </w:p>
        </w:tc>
        <w:tc>
          <w:tcPr>
            <w:tcW w:w="7193" w:type="dxa"/>
            <w:vAlign w:val="center"/>
          </w:tcPr>
          <w:p w14:paraId="13418A2E">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由</w:t>
            </w:r>
            <w:r>
              <w:rPr>
                <w:rFonts w:hint="eastAsia" w:ascii="宋体" w:hAnsi="宋体" w:eastAsia="宋体" w:cs="Times New Roman"/>
                <w:color w:val="auto"/>
                <w:sz w:val="24"/>
                <w:szCs w:val="28"/>
                <w:highlight w:val="none"/>
              </w:rPr>
              <w:t>中型、小型、微型企业制造的投标货物需达到</w:t>
            </w:r>
            <w:r>
              <w:rPr>
                <w:rFonts w:hint="eastAsia" w:ascii="宋体" w:hAnsi="宋体" w:eastAsia="宋体" w:cs="Times New Roman"/>
                <w:color w:val="auto"/>
                <w:kern w:val="0"/>
                <w:sz w:val="24"/>
                <w:szCs w:val="28"/>
                <w:highlight w:val="none"/>
              </w:rPr>
              <w:t>特定资格条件要求的比例，否则投标无效。</w:t>
            </w:r>
          </w:p>
        </w:tc>
      </w:tr>
      <w:tr w14:paraId="36E6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5CD6BAD8">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需提供的材料</w:t>
            </w:r>
          </w:p>
        </w:tc>
        <w:tc>
          <w:tcPr>
            <w:tcW w:w="7193" w:type="dxa"/>
            <w:vAlign w:val="center"/>
          </w:tcPr>
          <w:p w14:paraId="52114170">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投标文件中需提供《中小企业声明函》。若制造企业为监狱企业、残疾人福利性单位的，可不填写《中小企业声明函》，按第三章第17.3条的相关要求提供相应材料即可。</w:t>
            </w:r>
          </w:p>
        </w:tc>
      </w:tr>
      <w:tr w14:paraId="3308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3B4F6D19">
            <w:pPr>
              <w:spacing w:line="360" w:lineRule="auto"/>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注意事项</w:t>
            </w:r>
          </w:p>
        </w:tc>
        <w:tc>
          <w:tcPr>
            <w:tcW w:w="7193" w:type="dxa"/>
            <w:vAlign w:val="center"/>
          </w:tcPr>
          <w:p w14:paraId="1F55D5E1">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1、请投标人根据《关于印发中小企业划型标准规定的通知》（工信部联企业〔2011〕300号）规定的标准对企业规模进行认定。</w:t>
            </w:r>
          </w:p>
          <w:p w14:paraId="76B41FE8">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14:paraId="7A102FC5">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3、投标人需对声明的真实性负责，中标结果将同时公告</w:t>
            </w:r>
            <w:r>
              <w:rPr>
                <w:rFonts w:hint="eastAsia" w:ascii="宋体" w:hAnsi="宋体" w:eastAsia="宋体" w:cs="Times New Roman"/>
                <w:color w:val="auto"/>
                <w:kern w:val="0"/>
                <w:sz w:val="24"/>
                <w:szCs w:val="28"/>
                <w:highlight w:val="none"/>
                <w:lang w:eastAsia="zh-CN"/>
              </w:rPr>
              <w:t>中标人</w:t>
            </w:r>
            <w:r>
              <w:rPr>
                <w:rFonts w:hint="eastAsia" w:ascii="宋体" w:hAnsi="宋体" w:eastAsia="宋体" w:cs="Times New Roman"/>
                <w:color w:val="auto"/>
                <w:kern w:val="0"/>
                <w:sz w:val="24"/>
                <w:szCs w:val="28"/>
                <w:highlight w:val="none"/>
              </w:rPr>
              <w:t>的《中小企业声明函》，投标人提供的声明函内容不实的，则属于提供虚假材料谋取中标情形，依照《政府采购法》等国家有关规定追究相应责任。</w:t>
            </w:r>
          </w:p>
        </w:tc>
      </w:tr>
      <w:tr w14:paraId="3DC8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14:paraId="2832F028">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注：1、中小企业包括中型企业、小型企业、微型企业。</w:t>
            </w:r>
          </w:p>
          <w:p w14:paraId="34F2BB8C">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2、</w:t>
            </w:r>
            <w:r>
              <w:rPr>
                <w:rFonts w:hint="eastAsia" w:ascii="宋体" w:hAnsi="宋体" w:eastAsia="宋体" w:cs="Times New Roman"/>
                <w:color w:val="auto"/>
                <w:sz w:val="24"/>
                <w:szCs w:val="28"/>
                <w:highlight w:val="none"/>
              </w:rPr>
              <w:t>根据财政部、工信部《政府采购促进中小企业发展管理办法》、《福建省财政厅关于促进中小企业政府采购合同融资健康开展的通知》等政策，投标人中标后如需融资，可通过“福建省政府采购金融服务网”（网址：</w:t>
            </w:r>
            <w:r>
              <w:rPr>
                <w:rFonts w:ascii="宋体" w:hAnsi="宋体" w:eastAsia="宋体" w:cs="Times New Roman"/>
                <w:color w:val="auto"/>
                <w:sz w:val="24"/>
                <w:szCs w:val="28"/>
                <w:highlight w:val="none"/>
              </w:rPr>
              <w:t>https：//zfcg.czt.fujian.gov.cn/zcdservice/zcd/home/index</w:t>
            </w:r>
            <w:r>
              <w:rPr>
                <w:rFonts w:hint="eastAsia" w:ascii="宋体" w:hAnsi="宋体" w:eastAsia="宋体" w:cs="Times New Roman"/>
                <w:color w:val="auto"/>
                <w:sz w:val="24"/>
                <w:szCs w:val="28"/>
                <w:highlight w:val="none"/>
              </w:rPr>
              <w:t>）办理合同融资。</w:t>
            </w:r>
          </w:p>
        </w:tc>
      </w:tr>
    </w:tbl>
    <w:p w14:paraId="737EBD9B">
      <w:pPr>
        <w:spacing w:line="360" w:lineRule="auto"/>
        <w:rPr>
          <w:rFonts w:ascii="宋体" w:hAnsi="宋体" w:eastAsia="宋体" w:cs="宋体"/>
          <w:color w:val="auto"/>
          <w:kern w:val="0"/>
          <w:sz w:val="24"/>
          <w:szCs w:val="24"/>
          <w:highlight w:val="none"/>
        </w:rPr>
      </w:pPr>
    </w:p>
    <w:p w14:paraId="5ED282EE">
      <w:pPr>
        <w:spacing w:line="360" w:lineRule="auto"/>
        <w:rPr>
          <w:rFonts w:ascii="宋体" w:hAnsi="宋体" w:eastAsia="宋体" w:cs="宋体"/>
          <w:color w:val="auto"/>
          <w:kern w:val="0"/>
          <w:sz w:val="24"/>
          <w:szCs w:val="24"/>
          <w:highlight w:val="none"/>
        </w:rPr>
        <w:sectPr>
          <w:footerReference r:id="rId5" w:type="first"/>
          <w:footerReference r:id="rId4" w:type="default"/>
          <w:pgSz w:w="11906" w:h="16838"/>
          <w:pgMar w:top="1418" w:right="1418" w:bottom="1418" w:left="1418" w:header="851" w:footer="992" w:gutter="0"/>
          <w:cols w:space="720" w:num="1"/>
          <w:titlePg/>
          <w:docGrid w:linePitch="312" w:charSpace="0"/>
        </w:sectPr>
      </w:pPr>
    </w:p>
    <w:p w14:paraId="4DD9837E">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三、对《第七章  电子投标文件格式》的内容补充如下：</w:t>
      </w:r>
    </w:p>
    <w:p w14:paraId="5329C34B">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（一）《资格及资信证明部分》的格式补充如下：</w:t>
      </w:r>
    </w:p>
    <w:p w14:paraId="0F5384BF">
      <w:pPr>
        <w:spacing w:line="360" w:lineRule="auto"/>
        <w:jc w:val="center"/>
        <w:rPr>
          <w:rFonts w:ascii="黑体" w:hAnsi="黑体" w:eastAsia="黑体" w:cs="宋体"/>
          <w:b/>
          <w:bCs/>
          <w:color w:val="auto"/>
          <w:kern w:val="0"/>
          <w:sz w:val="28"/>
          <w:szCs w:val="18"/>
          <w:highlight w:val="none"/>
        </w:rPr>
      </w:pPr>
      <w:r>
        <w:rPr>
          <w:rFonts w:ascii="黑体" w:hAnsi="黑体" w:eastAsia="黑体" w:cs="宋体"/>
          <w:b/>
          <w:bCs/>
          <w:color w:val="auto"/>
          <w:kern w:val="0"/>
          <w:sz w:val="28"/>
          <w:szCs w:val="18"/>
          <w:highlight w:val="none"/>
        </w:rPr>
        <w:t>二-</w:t>
      </w:r>
      <w:r>
        <w:rPr>
          <w:rFonts w:hint="eastAsia" w:ascii="黑体" w:hAnsi="黑体" w:eastAsia="黑体" w:cs="宋体"/>
          <w:b/>
          <w:bCs/>
          <w:color w:val="auto"/>
          <w:kern w:val="0"/>
          <w:sz w:val="28"/>
          <w:szCs w:val="18"/>
          <w:highlight w:val="none"/>
        </w:rPr>
        <w:t>9</w:t>
      </w:r>
      <w:r>
        <w:rPr>
          <w:rFonts w:ascii="黑体" w:hAnsi="黑体" w:eastAsia="黑体" w:cs="宋体"/>
          <w:b/>
          <w:bCs/>
          <w:color w:val="auto"/>
          <w:kern w:val="0"/>
          <w:sz w:val="28"/>
          <w:szCs w:val="18"/>
          <w:highlight w:val="none"/>
        </w:rPr>
        <w:t>中小企业声明函</w:t>
      </w:r>
    </w:p>
    <w:p w14:paraId="53CCB9E6">
      <w:pPr>
        <w:spacing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预留份额专门面向中小企业采购</w:t>
      </w:r>
      <w:r>
        <w:rPr>
          <w:rFonts w:ascii="Times New Roman" w:hAnsi="Times New Roman" w:eastAsia="宋体" w:cs="Times New Roman"/>
          <w:color w:val="auto"/>
          <w:sz w:val="24"/>
          <w:szCs w:val="24"/>
          <w:highlight w:val="none"/>
        </w:rPr>
        <w:t>项目适用）</w:t>
      </w:r>
    </w:p>
    <w:p w14:paraId="57678B99">
      <w:pPr>
        <w:spacing w:beforeLines="100" w:afterLines="100"/>
        <w:jc w:val="center"/>
        <w:rPr>
          <w:rFonts w:ascii="宋体" w:hAnsi="宋体" w:eastAsia="宋体" w:cs="Times New Roman"/>
          <w:b/>
          <w:color w:val="auto"/>
          <w:spacing w:val="6"/>
          <w:sz w:val="32"/>
          <w:szCs w:val="32"/>
          <w:highlight w:val="none"/>
        </w:rPr>
      </w:pPr>
      <w:r>
        <w:rPr>
          <w:rFonts w:hint="eastAsia" w:ascii="宋体" w:hAnsi="宋体" w:eastAsia="宋体" w:cs="Times New Roman"/>
          <w:b/>
          <w:color w:val="auto"/>
          <w:spacing w:val="6"/>
          <w:sz w:val="32"/>
          <w:szCs w:val="32"/>
          <w:highlight w:val="none"/>
        </w:rPr>
        <w:t>中小企业声明函（货物）</w:t>
      </w:r>
    </w:p>
    <w:p w14:paraId="6217D5A9">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本公司（联合体）郑重声明，根据《政府采购促进中小企业发展管理办法》（财库〔2020〕46号）的规定，本公司（联合体）参加【单位名称】的【项目名称】采购活动，属于【工业】行业，提供的货物由符合政策要求的中小企业制造。相关企业（含联合体中的中小企业、签订分包意向协议的中小企业） 的具体情况如下：</w:t>
      </w:r>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02"/>
        <w:gridCol w:w="843"/>
        <w:gridCol w:w="932"/>
        <w:gridCol w:w="936"/>
        <w:gridCol w:w="1084"/>
        <w:gridCol w:w="1134"/>
        <w:gridCol w:w="2268"/>
      </w:tblGrid>
      <w:tr w14:paraId="0A5D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jc w:val="center"/>
        </w:trPr>
        <w:tc>
          <w:tcPr>
            <w:tcW w:w="671" w:type="dxa"/>
            <w:vAlign w:val="center"/>
          </w:tcPr>
          <w:p w14:paraId="42859062">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序号</w:t>
            </w:r>
          </w:p>
        </w:tc>
        <w:tc>
          <w:tcPr>
            <w:tcW w:w="1402" w:type="dxa"/>
            <w:vAlign w:val="center"/>
          </w:tcPr>
          <w:p w14:paraId="6D7D5339">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标的名称</w:t>
            </w:r>
          </w:p>
        </w:tc>
        <w:tc>
          <w:tcPr>
            <w:tcW w:w="843" w:type="dxa"/>
            <w:vAlign w:val="center"/>
          </w:tcPr>
          <w:p w14:paraId="15A5CE9F">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行业</w:t>
            </w:r>
          </w:p>
        </w:tc>
        <w:tc>
          <w:tcPr>
            <w:tcW w:w="932" w:type="dxa"/>
            <w:vAlign w:val="center"/>
          </w:tcPr>
          <w:p w14:paraId="70A5581E">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制造商全称</w:t>
            </w:r>
          </w:p>
        </w:tc>
        <w:tc>
          <w:tcPr>
            <w:tcW w:w="936" w:type="dxa"/>
            <w:vAlign w:val="center"/>
          </w:tcPr>
          <w:p w14:paraId="06E51F00">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从业</w:t>
            </w:r>
          </w:p>
          <w:p w14:paraId="406EACAD">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人员</w:t>
            </w:r>
          </w:p>
          <w:p w14:paraId="39BE4EB1">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（人）</w:t>
            </w:r>
          </w:p>
        </w:tc>
        <w:tc>
          <w:tcPr>
            <w:tcW w:w="1084" w:type="dxa"/>
            <w:vAlign w:val="center"/>
          </w:tcPr>
          <w:p w14:paraId="46EA07ED">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营业</w:t>
            </w:r>
          </w:p>
          <w:p w14:paraId="3ACB64EE">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收入</w:t>
            </w:r>
          </w:p>
          <w:p w14:paraId="6A87C33E">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（万元）</w:t>
            </w:r>
          </w:p>
        </w:tc>
        <w:tc>
          <w:tcPr>
            <w:tcW w:w="1134" w:type="dxa"/>
            <w:vAlign w:val="center"/>
          </w:tcPr>
          <w:p w14:paraId="2178078B">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资产</w:t>
            </w:r>
          </w:p>
          <w:p w14:paraId="3FE6BBB9">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总额</w:t>
            </w:r>
          </w:p>
          <w:p w14:paraId="648038E6">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（万元）</w:t>
            </w:r>
          </w:p>
        </w:tc>
        <w:tc>
          <w:tcPr>
            <w:tcW w:w="2268" w:type="dxa"/>
            <w:vAlign w:val="center"/>
          </w:tcPr>
          <w:p w14:paraId="7E068BCC">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企业类型</w:t>
            </w:r>
          </w:p>
          <w:p w14:paraId="0E9D04F3">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（根据划型标准填写中型企业或小型企业或微型企业）</w:t>
            </w:r>
          </w:p>
        </w:tc>
      </w:tr>
      <w:tr w14:paraId="5E7D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57EEEC5C">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1</w:t>
            </w:r>
          </w:p>
        </w:tc>
        <w:tc>
          <w:tcPr>
            <w:tcW w:w="1402" w:type="dxa"/>
            <w:vAlign w:val="center"/>
          </w:tcPr>
          <w:p w14:paraId="4656A79D">
            <w:pPr>
              <w:spacing w:line="360" w:lineRule="auto"/>
              <w:jc w:val="center"/>
              <w:rPr>
                <w:rFonts w:ascii="宋体" w:hAnsi="宋体" w:eastAsia="宋体" w:cs="Times New Roman"/>
                <w:color w:val="auto"/>
                <w:kern w:val="0"/>
                <w:sz w:val="24"/>
                <w:szCs w:val="32"/>
                <w:highlight w:val="none"/>
              </w:rPr>
            </w:pPr>
          </w:p>
        </w:tc>
        <w:tc>
          <w:tcPr>
            <w:tcW w:w="843" w:type="dxa"/>
            <w:vAlign w:val="center"/>
          </w:tcPr>
          <w:p w14:paraId="35A459C4">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工业</w:t>
            </w:r>
          </w:p>
        </w:tc>
        <w:tc>
          <w:tcPr>
            <w:tcW w:w="932" w:type="dxa"/>
            <w:vAlign w:val="center"/>
          </w:tcPr>
          <w:p w14:paraId="3315695D">
            <w:pPr>
              <w:spacing w:line="360" w:lineRule="auto"/>
              <w:jc w:val="center"/>
              <w:rPr>
                <w:rFonts w:ascii="宋体" w:hAnsi="宋体" w:eastAsia="宋体" w:cs="Times New Roman"/>
                <w:color w:val="auto"/>
                <w:kern w:val="0"/>
                <w:sz w:val="24"/>
                <w:szCs w:val="32"/>
                <w:highlight w:val="none"/>
              </w:rPr>
            </w:pPr>
          </w:p>
        </w:tc>
        <w:tc>
          <w:tcPr>
            <w:tcW w:w="936" w:type="dxa"/>
            <w:vAlign w:val="center"/>
          </w:tcPr>
          <w:p w14:paraId="6D87ABAA">
            <w:pPr>
              <w:spacing w:line="360" w:lineRule="auto"/>
              <w:jc w:val="center"/>
              <w:rPr>
                <w:rFonts w:ascii="宋体" w:hAnsi="宋体" w:eastAsia="宋体" w:cs="Times New Roman"/>
                <w:color w:val="auto"/>
                <w:kern w:val="0"/>
                <w:sz w:val="24"/>
                <w:szCs w:val="32"/>
                <w:highlight w:val="none"/>
              </w:rPr>
            </w:pPr>
          </w:p>
        </w:tc>
        <w:tc>
          <w:tcPr>
            <w:tcW w:w="1084" w:type="dxa"/>
            <w:vAlign w:val="center"/>
          </w:tcPr>
          <w:p w14:paraId="16C09862">
            <w:pPr>
              <w:spacing w:line="360" w:lineRule="auto"/>
              <w:jc w:val="center"/>
              <w:rPr>
                <w:rFonts w:ascii="宋体" w:hAnsi="宋体" w:eastAsia="宋体" w:cs="Times New Roman"/>
                <w:color w:val="auto"/>
                <w:kern w:val="0"/>
                <w:sz w:val="24"/>
                <w:szCs w:val="32"/>
                <w:highlight w:val="none"/>
              </w:rPr>
            </w:pPr>
          </w:p>
        </w:tc>
        <w:tc>
          <w:tcPr>
            <w:tcW w:w="1134" w:type="dxa"/>
            <w:vAlign w:val="center"/>
          </w:tcPr>
          <w:p w14:paraId="51D1F3E4">
            <w:pPr>
              <w:spacing w:line="360" w:lineRule="auto"/>
              <w:jc w:val="center"/>
              <w:rPr>
                <w:rFonts w:ascii="宋体" w:hAnsi="宋体" w:eastAsia="宋体" w:cs="Times New Roman"/>
                <w:color w:val="auto"/>
                <w:kern w:val="0"/>
                <w:sz w:val="24"/>
                <w:szCs w:val="32"/>
                <w:highlight w:val="none"/>
              </w:rPr>
            </w:pPr>
          </w:p>
        </w:tc>
        <w:tc>
          <w:tcPr>
            <w:tcW w:w="2268" w:type="dxa"/>
            <w:vAlign w:val="center"/>
          </w:tcPr>
          <w:p w14:paraId="07966959">
            <w:pPr>
              <w:spacing w:line="360" w:lineRule="auto"/>
              <w:jc w:val="center"/>
              <w:rPr>
                <w:rFonts w:ascii="宋体" w:hAnsi="宋体" w:eastAsia="宋体" w:cs="Times New Roman"/>
                <w:color w:val="auto"/>
                <w:kern w:val="0"/>
                <w:sz w:val="24"/>
                <w:szCs w:val="32"/>
                <w:highlight w:val="none"/>
              </w:rPr>
            </w:pPr>
          </w:p>
        </w:tc>
      </w:tr>
      <w:tr w14:paraId="7316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157CCA46">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2</w:t>
            </w:r>
          </w:p>
        </w:tc>
        <w:tc>
          <w:tcPr>
            <w:tcW w:w="1402" w:type="dxa"/>
            <w:vAlign w:val="center"/>
          </w:tcPr>
          <w:p w14:paraId="01D77B36">
            <w:pPr>
              <w:spacing w:line="360" w:lineRule="auto"/>
              <w:jc w:val="center"/>
              <w:rPr>
                <w:rFonts w:ascii="宋体" w:hAnsi="宋体" w:eastAsia="宋体" w:cs="Times New Roman"/>
                <w:color w:val="auto"/>
                <w:kern w:val="0"/>
                <w:sz w:val="24"/>
                <w:szCs w:val="32"/>
                <w:highlight w:val="none"/>
              </w:rPr>
            </w:pPr>
          </w:p>
        </w:tc>
        <w:tc>
          <w:tcPr>
            <w:tcW w:w="843" w:type="dxa"/>
            <w:vAlign w:val="center"/>
          </w:tcPr>
          <w:p w14:paraId="2A67B462">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工业</w:t>
            </w:r>
          </w:p>
        </w:tc>
        <w:tc>
          <w:tcPr>
            <w:tcW w:w="932" w:type="dxa"/>
            <w:vAlign w:val="center"/>
          </w:tcPr>
          <w:p w14:paraId="27839E82">
            <w:pPr>
              <w:spacing w:line="360" w:lineRule="auto"/>
              <w:jc w:val="center"/>
              <w:rPr>
                <w:rFonts w:ascii="宋体" w:hAnsi="宋体" w:eastAsia="宋体" w:cs="Times New Roman"/>
                <w:color w:val="auto"/>
                <w:kern w:val="0"/>
                <w:sz w:val="24"/>
                <w:szCs w:val="32"/>
                <w:highlight w:val="none"/>
              </w:rPr>
            </w:pPr>
          </w:p>
        </w:tc>
        <w:tc>
          <w:tcPr>
            <w:tcW w:w="936" w:type="dxa"/>
            <w:vAlign w:val="center"/>
          </w:tcPr>
          <w:p w14:paraId="76C3C0FD">
            <w:pPr>
              <w:spacing w:line="360" w:lineRule="auto"/>
              <w:jc w:val="center"/>
              <w:rPr>
                <w:rFonts w:ascii="宋体" w:hAnsi="宋体" w:eastAsia="宋体" w:cs="Times New Roman"/>
                <w:color w:val="auto"/>
                <w:kern w:val="0"/>
                <w:sz w:val="24"/>
                <w:szCs w:val="32"/>
                <w:highlight w:val="none"/>
              </w:rPr>
            </w:pPr>
          </w:p>
        </w:tc>
        <w:tc>
          <w:tcPr>
            <w:tcW w:w="1084" w:type="dxa"/>
            <w:vAlign w:val="center"/>
          </w:tcPr>
          <w:p w14:paraId="4CB2FD51">
            <w:pPr>
              <w:spacing w:line="360" w:lineRule="auto"/>
              <w:jc w:val="center"/>
              <w:rPr>
                <w:rFonts w:ascii="宋体" w:hAnsi="宋体" w:eastAsia="宋体" w:cs="Times New Roman"/>
                <w:color w:val="auto"/>
                <w:kern w:val="0"/>
                <w:sz w:val="24"/>
                <w:szCs w:val="32"/>
                <w:highlight w:val="none"/>
              </w:rPr>
            </w:pPr>
          </w:p>
        </w:tc>
        <w:tc>
          <w:tcPr>
            <w:tcW w:w="1134" w:type="dxa"/>
            <w:vAlign w:val="center"/>
          </w:tcPr>
          <w:p w14:paraId="397C0708">
            <w:pPr>
              <w:spacing w:line="360" w:lineRule="auto"/>
              <w:jc w:val="center"/>
              <w:rPr>
                <w:rFonts w:ascii="宋体" w:hAnsi="宋体" w:eastAsia="宋体" w:cs="Times New Roman"/>
                <w:color w:val="auto"/>
                <w:kern w:val="0"/>
                <w:sz w:val="24"/>
                <w:szCs w:val="32"/>
                <w:highlight w:val="none"/>
              </w:rPr>
            </w:pPr>
          </w:p>
        </w:tc>
        <w:tc>
          <w:tcPr>
            <w:tcW w:w="2268" w:type="dxa"/>
            <w:vAlign w:val="center"/>
          </w:tcPr>
          <w:p w14:paraId="0319B7CF">
            <w:pPr>
              <w:spacing w:line="360" w:lineRule="auto"/>
              <w:jc w:val="center"/>
              <w:rPr>
                <w:rFonts w:ascii="宋体" w:hAnsi="宋体" w:eastAsia="宋体" w:cs="Times New Roman"/>
                <w:color w:val="auto"/>
                <w:kern w:val="0"/>
                <w:sz w:val="24"/>
                <w:szCs w:val="32"/>
                <w:highlight w:val="none"/>
              </w:rPr>
            </w:pPr>
          </w:p>
        </w:tc>
      </w:tr>
      <w:tr w14:paraId="55CC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79DC8AB3">
            <w:pPr>
              <w:spacing w:line="360" w:lineRule="auto"/>
              <w:jc w:val="center"/>
              <w:rPr>
                <w:rFonts w:ascii="宋体" w:hAnsi="宋体" w:eastAsia="宋体" w:cs="Times New Roman"/>
                <w:color w:val="auto"/>
                <w:kern w:val="0"/>
                <w:sz w:val="24"/>
                <w:szCs w:val="32"/>
                <w:highlight w:val="none"/>
              </w:rPr>
            </w:pPr>
          </w:p>
        </w:tc>
        <w:tc>
          <w:tcPr>
            <w:tcW w:w="1402" w:type="dxa"/>
            <w:vAlign w:val="center"/>
          </w:tcPr>
          <w:p w14:paraId="7DCDFC8A">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w:t>
            </w:r>
          </w:p>
        </w:tc>
        <w:tc>
          <w:tcPr>
            <w:tcW w:w="843" w:type="dxa"/>
            <w:vAlign w:val="center"/>
          </w:tcPr>
          <w:p w14:paraId="70EF842A">
            <w:pPr>
              <w:spacing w:line="360" w:lineRule="auto"/>
              <w:jc w:val="center"/>
              <w:rPr>
                <w:rFonts w:ascii="宋体" w:hAnsi="宋体" w:eastAsia="宋体" w:cs="Times New Roman"/>
                <w:color w:val="auto"/>
                <w:kern w:val="0"/>
                <w:sz w:val="24"/>
                <w:szCs w:val="32"/>
                <w:highlight w:val="none"/>
              </w:rPr>
            </w:pPr>
          </w:p>
        </w:tc>
        <w:tc>
          <w:tcPr>
            <w:tcW w:w="932" w:type="dxa"/>
            <w:vAlign w:val="center"/>
          </w:tcPr>
          <w:p w14:paraId="748E3747">
            <w:pPr>
              <w:spacing w:line="360" w:lineRule="auto"/>
              <w:jc w:val="center"/>
              <w:rPr>
                <w:rFonts w:ascii="宋体" w:hAnsi="宋体" w:eastAsia="宋体" w:cs="Times New Roman"/>
                <w:color w:val="auto"/>
                <w:kern w:val="0"/>
                <w:sz w:val="24"/>
                <w:szCs w:val="32"/>
                <w:highlight w:val="none"/>
              </w:rPr>
            </w:pPr>
          </w:p>
        </w:tc>
        <w:tc>
          <w:tcPr>
            <w:tcW w:w="936" w:type="dxa"/>
            <w:vAlign w:val="center"/>
          </w:tcPr>
          <w:p w14:paraId="5605ABBA">
            <w:pPr>
              <w:spacing w:line="360" w:lineRule="auto"/>
              <w:jc w:val="center"/>
              <w:rPr>
                <w:rFonts w:ascii="宋体" w:hAnsi="宋体" w:eastAsia="宋体" w:cs="Times New Roman"/>
                <w:color w:val="auto"/>
                <w:kern w:val="0"/>
                <w:sz w:val="24"/>
                <w:szCs w:val="32"/>
                <w:highlight w:val="none"/>
              </w:rPr>
            </w:pPr>
          </w:p>
        </w:tc>
        <w:tc>
          <w:tcPr>
            <w:tcW w:w="1084" w:type="dxa"/>
            <w:vAlign w:val="center"/>
          </w:tcPr>
          <w:p w14:paraId="7FD52099">
            <w:pPr>
              <w:spacing w:line="360" w:lineRule="auto"/>
              <w:jc w:val="center"/>
              <w:rPr>
                <w:rFonts w:ascii="宋体" w:hAnsi="宋体" w:eastAsia="宋体" w:cs="Times New Roman"/>
                <w:color w:val="auto"/>
                <w:kern w:val="0"/>
                <w:sz w:val="24"/>
                <w:szCs w:val="32"/>
                <w:highlight w:val="none"/>
              </w:rPr>
            </w:pPr>
          </w:p>
        </w:tc>
        <w:tc>
          <w:tcPr>
            <w:tcW w:w="1134" w:type="dxa"/>
            <w:vAlign w:val="center"/>
          </w:tcPr>
          <w:p w14:paraId="564AF12C">
            <w:pPr>
              <w:spacing w:line="360" w:lineRule="auto"/>
              <w:jc w:val="center"/>
              <w:rPr>
                <w:rFonts w:ascii="宋体" w:hAnsi="宋体" w:eastAsia="宋体" w:cs="Times New Roman"/>
                <w:color w:val="auto"/>
                <w:kern w:val="0"/>
                <w:sz w:val="24"/>
                <w:szCs w:val="32"/>
                <w:highlight w:val="none"/>
              </w:rPr>
            </w:pPr>
          </w:p>
        </w:tc>
        <w:tc>
          <w:tcPr>
            <w:tcW w:w="2268" w:type="dxa"/>
            <w:vAlign w:val="center"/>
          </w:tcPr>
          <w:p w14:paraId="1ED5A10C">
            <w:pPr>
              <w:spacing w:line="360" w:lineRule="auto"/>
              <w:jc w:val="center"/>
              <w:rPr>
                <w:rFonts w:ascii="宋体" w:hAnsi="宋体" w:eastAsia="宋体" w:cs="Times New Roman"/>
                <w:color w:val="auto"/>
                <w:kern w:val="0"/>
                <w:sz w:val="24"/>
                <w:szCs w:val="32"/>
                <w:highlight w:val="none"/>
              </w:rPr>
            </w:pPr>
          </w:p>
        </w:tc>
      </w:tr>
    </w:tbl>
    <w:p w14:paraId="3F747AC3">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以上企业，不属于大企业的分支机构，不存在控股股东为大企业的情形，也不存在与大企业的负责人为同一人的情形。</w:t>
      </w:r>
    </w:p>
    <w:p w14:paraId="01613348">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本企业对上述声明内容的真实性负责。如有虚假，将依法承担相应责任。</w:t>
      </w:r>
    </w:p>
    <w:p w14:paraId="4AE942DF">
      <w:pPr>
        <w:spacing w:line="360" w:lineRule="auto"/>
        <w:ind w:firstLine="480" w:firstLineChars="200"/>
        <w:rPr>
          <w:rFonts w:ascii="宋体" w:hAnsi="宋体" w:eastAsia="宋体" w:cs="Times New Roman"/>
          <w:color w:val="auto"/>
          <w:sz w:val="24"/>
          <w:szCs w:val="32"/>
          <w:highlight w:val="none"/>
        </w:rPr>
      </w:pPr>
    </w:p>
    <w:p w14:paraId="31197CB1">
      <w:pPr>
        <w:spacing w:line="360" w:lineRule="auto"/>
        <w:ind w:firstLine="480" w:firstLineChars="200"/>
        <w:rPr>
          <w:rFonts w:ascii="宋体" w:hAnsi="宋体" w:eastAsia="宋体" w:cs="Times New Roman"/>
          <w:color w:val="auto"/>
          <w:sz w:val="24"/>
          <w:szCs w:val="32"/>
          <w:highlight w:val="none"/>
          <w:u w:val="single"/>
        </w:rPr>
      </w:pPr>
      <w:r>
        <w:rPr>
          <w:rFonts w:hint="eastAsia" w:ascii="宋体" w:hAnsi="宋体" w:eastAsia="宋体" w:cs="Times New Roman"/>
          <w:color w:val="auto"/>
          <w:sz w:val="24"/>
          <w:szCs w:val="32"/>
          <w:highlight w:val="none"/>
        </w:rPr>
        <w:t>上表中由中型企业制造的货物的报价金额占投标总价的：</w:t>
      </w:r>
      <w:r>
        <w:rPr>
          <w:rFonts w:hint="eastAsia" w:ascii="宋体" w:hAnsi="宋体" w:eastAsia="宋体" w:cs="Times New Roman"/>
          <w:color w:val="auto"/>
          <w:sz w:val="24"/>
          <w:szCs w:val="32"/>
          <w:highlight w:val="none"/>
          <w:u w:val="single"/>
        </w:rPr>
        <w:t xml:space="preserve">   %</w:t>
      </w:r>
      <w:r>
        <w:rPr>
          <w:rFonts w:hint="eastAsia" w:ascii="宋体" w:hAnsi="宋体" w:eastAsia="宋体" w:cs="Times New Roman"/>
          <w:color w:val="auto"/>
          <w:sz w:val="24"/>
          <w:szCs w:val="32"/>
          <w:highlight w:val="none"/>
        </w:rPr>
        <w:t>，由小型、微型企业制造的货物的报价金额占投标总价的：</w:t>
      </w:r>
      <w:r>
        <w:rPr>
          <w:rFonts w:hint="eastAsia" w:ascii="宋体" w:hAnsi="宋体" w:eastAsia="宋体" w:cs="Times New Roman"/>
          <w:color w:val="auto"/>
          <w:sz w:val="24"/>
          <w:szCs w:val="32"/>
          <w:highlight w:val="none"/>
          <w:u w:val="single"/>
        </w:rPr>
        <w:t xml:space="preserve">   %</w:t>
      </w:r>
      <w:r>
        <w:rPr>
          <w:rFonts w:hint="eastAsia" w:ascii="宋体" w:hAnsi="宋体" w:eastAsia="宋体" w:cs="Times New Roman"/>
          <w:color w:val="auto"/>
          <w:sz w:val="24"/>
          <w:szCs w:val="32"/>
          <w:highlight w:val="none"/>
        </w:rPr>
        <w:t>。</w:t>
      </w:r>
    </w:p>
    <w:p w14:paraId="6EA58F8B">
      <w:pPr>
        <w:spacing w:line="360" w:lineRule="auto"/>
        <w:ind w:firstLine="480" w:firstLineChars="200"/>
        <w:rPr>
          <w:rFonts w:ascii="宋体" w:hAnsi="宋体" w:eastAsia="宋体" w:cs="Times New Roman"/>
          <w:color w:val="auto"/>
          <w:sz w:val="24"/>
          <w:szCs w:val="32"/>
          <w:highlight w:val="none"/>
        </w:rPr>
      </w:pPr>
    </w:p>
    <w:p w14:paraId="2E82B7C5">
      <w:pPr>
        <w:ind w:firstLine="4080" w:firstLineChars="17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企业名称（盖章）：</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p>
    <w:p w14:paraId="11C09C60">
      <w:pPr>
        <w:ind w:firstLine="4080" w:firstLineChars="17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日期：</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p>
    <w:p w14:paraId="123536D3">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填写说明：</w:t>
      </w:r>
    </w:p>
    <w:p w14:paraId="1B94C11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1、本声明函放在投标文件的《资格及资信证明部分》，只需写明占比比例即可。</w:t>
      </w:r>
    </w:p>
    <w:p w14:paraId="400104A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比例计算公式：该部分货物报价金额÷投标总价*100%。</w:t>
      </w:r>
    </w:p>
    <w:p w14:paraId="550DA80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2、表格中的“标的名称”应与采购的货物名称相对应。</w:t>
      </w:r>
    </w:p>
    <w:p w14:paraId="417A3FC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3、填报的企业类型与划型标准不对应的，将可能导致投标无效。</w:t>
      </w:r>
    </w:p>
    <w:p w14:paraId="610E191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4、从业人员、营业收入、资产总额填报上一年度数据，无上一年度数据的新成立企业可不填报，在空格内填“\”即可。</w:t>
      </w:r>
    </w:p>
    <w:p w14:paraId="0ABC6CE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5、营业收入、资产总额应按财务审计报告上的数据填写，可填写完整数值，也可填写取整至万元的数值，如1234.56789万元可填写为1234万元。</w:t>
      </w:r>
      <w:r>
        <w:rPr>
          <w:rFonts w:hint="eastAsia" w:ascii="宋体" w:hAnsi="宋体" w:eastAsia="宋体" w:cs="Times New Roman"/>
          <w:color w:val="auto"/>
          <w:sz w:val="24"/>
          <w:szCs w:val="24"/>
          <w:highlight w:val="none"/>
        </w:rPr>
        <w:t>若填报的数据与投标人自己提供的上一年度财务审计报告数据有出入的，将可能导致投标无效。</w:t>
      </w:r>
    </w:p>
    <w:p w14:paraId="3C494221">
      <w:pPr>
        <w:spacing w:line="360" w:lineRule="auto"/>
        <w:ind w:firstLine="480" w:firstLineChars="200"/>
        <w:rPr>
          <w:rFonts w:ascii="宋体" w:hAnsi="宋体" w:eastAsia="宋体" w:cs="Times New Roman"/>
          <w:color w:val="auto"/>
          <w:sz w:val="24"/>
          <w:szCs w:val="24"/>
          <w:highlight w:val="none"/>
        </w:rPr>
      </w:pPr>
      <w:r>
        <w:rPr>
          <w:rFonts w:hint="eastAsia" w:ascii="宋体" w:hAnsi="宋体"/>
          <w:color w:val="auto"/>
          <w:sz w:val="24"/>
          <w:highlight w:val="none"/>
        </w:rPr>
        <w:t>6、从业人员数量建议按企业在国家企业信用信息公示系统中填报的上一年度年报数据填写。</w:t>
      </w:r>
    </w:p>
    <w:p w14:paraId="2246AAB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7、若对填写本声明函有疑问的，请及时联系代理机构咨询，否则由此导致的不利后果由投标人自行承担。</w:t>
      </w:r>
    </w:p>
    <w:p w14:paraId="63D109E7">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8、</w:t>
      </w:r>
      <w:r>
        <w:rPr>
          <w:rFonts w:hint="eastAsia" w:ascii="宋体" w:hAnsi="宋体" w:eastAsia="宋体" w:cs="Times New Roman"/>
          <w:color w:val="auto"/>
          <w:sz w:val="24"/>
          <w:highlight w:val="none"/>
        </w:rPr>
        <w:t>各行业划型标准为：</w:t>
      </w:r>
    </w:p>
    <w:p w14:paraId="740BF429">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21ABF46A">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4DB0B5">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16FE52C">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6324777">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102FA4">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3D044D3">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B59475">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74D1A40">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FEA8ED">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1713D5">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FCB94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C357EEC">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4034411">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F17E7C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9D0E0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6BCDABBB">
      <w:pPr>
        <w:rPr>
          <w:color w:val="auto"/>
          <w:highlight w:val="none"/>
        </w:rPr>
      </w:pPr>
    </w:p>
    <w:p w14:paraId="247AD2CE">
      <w:pPr>
        <w:spacing w:line="360" w:lineRule="auto"/>
        <w:rPr>
          <w:rFonts w:ascii="宋体" w:hAnsi="宋体" w:eastAsia="宋体" w:cs="Times New Roman"/>
          <w:color w:val="auto"/>
          <w:sz w:val="24"/>
          <w:szCs w:val="24"/>
          <w:highlight w:val="none"/>
        </w:rPr>
      </w:pPr>
    </w:p>
    <w:p w14:paraId="436D9530">
      <w:pPr>
        <w:spacing w:line="360" w:lineRule="auto"/>
        <w:ind w:firstLine="480" w:firstLineChars="200"/>
        <w:rPr>
          <w:rFonts w:ascii="宋体" w:hAnsi="宋体" w:eastAsia="宋体" w:cs="Times New Roman"/>
          <w:color w:val="auto"/>
          <w:sz w:val="24"/>
          <w:szCs w:val="24"/>
          <w:highlight w:val="none"/>
        </w:rPr>
        <w:sectPr>
          <w:pgSz w:w="11906" w:h="16838"/>
          <w:pgMar w:top="1418" w:right="1418" w:bottom="1418" w:left="1418" w:header="851" w:footer="992" w:gutter="0"/>
          <w:cols w:space="720" w:num="1"/>
          <w:titlePg/>
          <w:docGrid w:linePitch="312" w:charSpace="0"/>
        </w:sectPr>
      </w:pPr>
    </w:p>
    <w:p w14:paraId="11BC1183">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（二）《报价部分》的格式补充如下：</w:t>
      </w:r>
    </w:p>
    <w:p w14:paraId="0F5CFA1D">
      <w:pPr>
        <w:spacing w:before="50" w:after="50" w:line="360" w:lineRule="auto"/>
        <w:ind w:firstLine="562"/>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三-1-①优先类节能产品、环境标志产品统计表（价格扣除适用，若有）</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879"/>
        <w:gridCol w:w="1880"/>
        <w:gridCol w:w="1080"/>
        <w:gridCol w:w="1081"/>
        <w:gridCol w:w="1081"/>
      </w:tblGrid>
      <w:tr w14:paraId="46DB9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32F3597B">
            <w:pPr>
              <w:spacing w:line="360" w:lineRule="auto"/>
              <w:jc w:val="center"/>
              <w:rPr>
                <w:rFonts w:asciiTheme="minorEastAsia" w:hAnsiTheme="minorEastAsia"/>
                <w:color w:val="auto"/>
                <w:sz w:val="24"/>
                <w:highlight w:val="none"/>
              </w:rPr>
            </w:pPr>
          </w:p>
        </w:tc>
        <w:tc>
          <w:tcPr>
            <w:tcW w:w="7001" w:type="dxa"/>
            <w:gridSpan w:val="5"/>
            <w:vAlign w:val="center"/>
          </w:tcPr>
          <w:p w14:paraId="383A6652">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本采购包内属于节能、环境标志产品情况</w:t>
            </w:r>
          </w:p>
        </w:tc>
      </w:tr>
      <w:tr w14:paraId="27DFE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7F38EED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879" w:type="dxa"/>
            <w:vAlign w:val="center"/>
          </w:tcPr>
          <w:p w14:paraId="101C6FF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产品名称</w:t>
            </w:r>
          </w:p>
        </w:tc>
        <w:tc>
          <w:tcPr>
            <w:tcW w:w="1880" w:type="dxa"/>
            <w:tcBorders>
              <w:right w:val="single" w:color="auto" w:sz="4" w:space="0"/>
            </w:tcBorders>
            <w:vAlign w:val="center"/>
          </w:tcPr>
          <w:p w14:paraId="3B1F2803">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认证种类</w:t>
            </w:r>
          </w:p>
        </w:tc>
        <w:tc>
          <w:tcPr>
            <w:tcW w:w="1080" w:type="dxa"/>
            <w:tcBorders>
              <w:right w:val="single" w:color="auto" w:sz="4" w:space="0"/>
            </w:tcBorders>
            <w:vAlign w:val="center"/>
          </w:tcPr>
          <w:p w14:paraId="7C7C44D8">
            <w:pPr>
              <w:pStyle w:val="54"/>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数量</w:t>
            </w:r>
          </w:p>
        </w:tc>
        <w:tc>
          <w:tcPr>
            <w:tcW w:w="1081" w:type="dxa"/>
            <w:tcBorders>
              <w:left w:val="single" w:color="auto" w:sz="4" w:space="0"/>
            </w:tcBorders>
            <w:vAlign w:val="center"/>
          </w:tcPr>
          <w:p w14:paraId="10020436">
            <w:pPr>
              <w:pStyle w:val="54"/>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单价</w:t>
            </w:r>
          </w:p>
        </w:tc>
        <w:tc>
          <w:tcPr>
            <w:tcW w:w="1081" w:type="dxa"/>
            <w:tcBorders>
              <w:left w:val="single" w:color="auto" w:sz="4" w:space="0"/>
            </w:tcBorders>
            <w:vAlign w:val="center"/>
          </w:tcPr>
          <w:p w14:paraId="728BF569">
            <w:pPr>
              <w:pStyle w:val="54"/>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小计</w:t>
            </w:r>
          </w:p>
        </w:tc>
      </w:tr>
      <w:tr w14:paraId="580FE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0BC997E6">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879" w:type="dxa"/>
            <w:vAlign w:val="center"/>
          </w:tcPr>
          <w:p w14:paraId="35896E49">
            <w:pPr>
              <w:spacing w:line="360" w:lineRule="auto"/>
              <w:jc w:val="center"/>
              <w:rPr>
                <w:rFonts w:asciiTheme="minorEastAsia" w:hAnsiTheme="minorEastAsia"/>
                <w:color w:val="auto"/>
                <w:sz w:val="24"/>
                <w:highlight w:val="none"/>
              </w:rPr>
            </w:pPr>
          </w:p>
        </w:tc>
        <w:tc>
          <w:tcPr>
            <w:tcW w:w="1880" w:type="dxa"/>
            <w:tcBorders>
              <w:right w:val="single" w:color="auto" w:sz="4" w:space="0"/>
            </w:tcBorders>
            <w:vAlign w:val="center"/>
          </w:tcPr>
          <w:p w14:paraId="1E33A7BE">
            <w:pPr>
              <w:pStyle w:val="54"/>
              <w:spacing w:line="360" w:lineRule="auto"/>
              <w:jc w:val="center"/>
              <w:rPr>
                <w:rFonts w:hint="default" w:asciiTheme="minorEastAsia" w:hAnsiTheme="minorEastAsia"/>
                <w:color w:val="auto"/>
                <w:sz w:val="24"/>
                <w:szCs w:val="24"/>
                <w:highlight w:val="none"/>
              </w:rPr>
            </w:pPr>
          </w:p>
        </w:tc>
        <w:tc>
          <w:tcPr>
            <w:tcW w:w="1080" w:type="dxa"/>
            <w:tcBorders>
              <w:right w:val="single" w:color="auto" w:sz="4" w:space="0"/>
            </w:tcBorders>
            <w:vAlign w:val="center"/>
          </w:tcPr>
          <w:p w14:paraId="1C81A8E2">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7222C380">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79DF18F4">
            <w:pPr>
              <w:pStyle w:val="54"/>
              <w:spacing w:line="360" w:lineRule="auto"/>
              <w:jc w:val="center"/>
              <w:rPr>
                <w:rFonts w:hint="default" w:asciiTheme="minorEastAsia" w:hAnsiTheme="minorEastAsia"/>
                <w:color w:val="auto"/>
                <w:sz w:val="24"/>
                <w:szCs w:val="24"/>
                <w:highlight w:val="none"/>
              </w:rPr>
            </w:pPr>
          </w:p>
        </w:tc>
      </w:tr>
      <w:tr w14:paraId="05E2D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26950FC0">
            <w:pPr>
              <w:pStyle w:val="54"/>
              <w:spacing w:line="360" w:lineRule="auto"/>
              <w:jc w:val="center"/>
              <w:rPr>
                <w:rFonts w:hint="default" w:asciiTheme="minorEastAsia" w:hAnsiTheme="minorEastAsia"/>
                <w:color w:val="auto"/>
                <w:sz w:val="24"/>
                <w:szCs w:val="24"/>
                <w:highlight w:val="none"/>
              </w:rPr>
            </w:pPr>
          </w:p>
        </w:tc>
        <w:tc>
          <w:tcPr>
            <w:tcW w:w="1879" w:type="dxa"/>
            <w:vAlign w:val="center"/>
          </w:tcPr>
          <w:p w14:paraId="290A9F1D">
            <w:pPr>
              <w:spacing w:line="360" w:lineRule="auto"/>
              <w:jc w:val="center"/>
              <w:rPr>
                <w:rFonts w:asciiTheme="minorEastAsia" w:hAnsiTheme="minorEastAsia"/>
                <w:color w:val="auto"/>
                <w:sz w:val="24"/>
                <w:highlight w:val="none"/>
              </w:rPr>
            </w:pPr>
          </w:p>
        </w:tc>
        <w:tc>
          <w:tcPr>
            <w:tcW w:w="1880" w:type="dxa"/>
            <w:tcBorders>
              <w:right w:val="single" w:color="auto" w:sz="4" w:space="0"/>
            </w:tcBorders>
            <w:vAlign w:val="center"/>
          </w:tcPr>
          <w:p w14:paraId="5ECA9AA1">
            <w:pPr>
              <w:pStyle w:val="54"/>
              <w:spacing w:line="360" w:lineRule="auto"/>
              <w:jc w:val="center"/>
              <w:rPr>
                <w:rFonts w:hint="default" w:asciiTheme="minorEastAsia" w:hAnsiTheme="minorEastAsia"/>
                <w:color w:val="auto"/>
                <w:sz w:val="24"/>
                <w:szCs w:val="24"/>
                <w:highlight w:val="none"/>
              </w:rPr>
            </w:pPr>
          </w:p>
        </w:tc>
        <w:tc>
          <w:tcPr>
            <w:tcW w:w="1080" w:type="dxa"/>
            <w:tcBorders>
              <w:right w:val="single" w:color="auto" w:sz="4" w:space="0"/>
            </w:tcBorders>
            <w:vAlign w:val="center"/>
          </w:tcPr>
          <w:p w14:paraId="2052C552">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1D275183">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49B09EFE">
            <w:pPr>
              <w:pStyle w:val="54"/>
              <w:spacing w:line="360" w:lineRule="auto"/>
              <w:jc w:val="center"/>
              <w:rPr>
                <w:rFonts w:hint="default" w:asciiTheme="minorEastAsia" w:hAnsiTheme="minorEastAsia"/>
                <w:color w:val="auto"/>
                <w:sz w:val="24"/>
                <w:szCs w:val="24"/>
                <w:highlight w:val="none"/>
              </w:rPr>
            </w:pPr>
          </w:p>
        </w:tc>
      </w:tr>
      <w:tr w14:paraId="38206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6E8F4D30">
            <w:pPr>
              <w:pStyle w:val="54"/>
              <w:spacing w:line="360" w:lineRule="auto"/>
              <w:jc w:val="center"/>
              <w:rPr>
                <w:rFonts w:hint="default" w:asciiTheme="minorEastAsia" w:hAnsiTheme="minorEastAsia"/>
                <w:color w:val="auto"/>
                <w:sz w:val="24"/>
                <w:szCs w:val="24"/>
                <w:highlight w:val="none"/>
              </w:rPr>
            </w:pPr>
          </w:p>
        </w:tc>
        <w:tc>
          <w:tcPr>
            <w:tcW w:w="1879" w:type="dxa"/>
            <w:vAlign w:val="center"/>
          </w:tcPr>
          <w:p w14:paraId="24E6D113">
            <w:pPr>
              <w:spacing w:line="360" w:lineRule="auto"/>
              <w:jc w:val="center"/>
              <w:rPr>
                <w:rFonts w:asciiTheme="minorEastAsia" w:hAnsiTheme="minorEastAsia"/>
                <w:color w:val="auto"/>
                <w:sz w:val="24"/>
                <w:highlight w:val="none"/>
              </w:rPr>
            </w:pPr>
          </w:p>
        </w:tc>
        <w:tc>
          <w:tcPr>
            <w:tcW w:w="1880" w:type="dxa"/>
            <w:tcBorders>
              <w:right w:val="single" w:color="auto" w:sz="4" w:space="0"/>
            </w:tcBorders>
            <w:vAlign w:val="center"/>
          </w:tcPr>
          <w:p w14:paraId="67B469D7">
            <w:pPr>
              <w:pStyle w:val="54"/>
              <w:spacing w:line="360" w:lineRule="auto"/>
              <w:jc w:val="center"/>
              <w:rPr>
                <w:rFonts w:hint="default" w:asciiTheme="minorEastAsia" w:hAnsiTheme="minorEastAsia"/>
                <w:color w:val="auto"/>
                <w:sz w:val="24"/>
                <w:szCs w:val="24"/>
                <w:highlight w:val="none"/>
              </w:rPr>
            </w:pPr>
          </w:p>
        </w:tc>
        <w:tc>
          <w:tcPr>
            <w:tcW w:w="1080" w:type="dxa"/>
            <w:tcBorders>
              <w:right w:val="single" w:color="auto" w:sz="4" w:space="0"/>
            </w:tcBorders>
            <w:vAlign w:val="center"/>
          </w:tcPr>
          <w:p w14:paraId="14DB69A1">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13F5E5DC">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69170162">
            <w:pPr>
              <w:pStyle w:val="54"/>
              <w:spacing w:line="360" w:lineRule="auto"/>
              <w:jc w:val="center"/>
              <w:rPr>
                <w:rFonts w:hint="default" w:asciiTheme="minorEastAsia" w:hAnsiTheme="minorEastAsia"/>
                <w:color w:val="auto"/>
                <w:sz w:val="24"/>
                <w:szCs w:val="24"/>
                <w:highlight w:val="none"/>
              </w:rPr>
            </w:pPr>
          </w:p>
        </w:tc>
      </w:tr>
      <w:tr w14:paraId="2BA81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32CB2E2F">
            <w:pPr>
              <w:spacing w:line="360" w:lineRule="auto"/>
              <w:jc w:val="center"/>
              <w:rPr>
                <w:rFonts w:asciiTheme="minorEastAsia" w:hAnsiTheme="minorEastAsia"/>
                <w:color w:val="auto"/>
                <w:sz w:val="24"/>
                <w:highlight w:val="none"/>
              </w:rPr>
            </w:pPr>
          </w:p>
        </w:tc>
        <w:tc>
          <w:tcPr>
            <w:tcW w:w="5920" w:type="dxa"/>
            <w:gridSpan w:val="4"/>
            <w:vAlign w:val="center"/>
          </w:tcPr>
          <w:p w14:paraId="300B5B61">
            <w:pPr>
              <w:spacing w:line="360" w:lineRule="auto"/>
              <w:jc w:val="right"/>
              <w:rPr>
                <w:rFonts w:asciiTheme="minorEastAsia" w:hAnsiTheme="minorEastAsia"/>
                <w:color w:val="auto"/>
                <w:sz w:val="24"/>
                <w:highlight w:val="none"/>
              </w:rPr>
            </w:pPr>
            <w:r>
              <w:rPr>
                <w:rFonts w:asciiTheme="minorEastAsia" w:hAnsiTheme="minorEastAsia"/>
                <w:color w:val="auto"/>
                <w:sz w:val="24"/>
                <w:highlight w:val="none"/>
              </w:rPr>
              <w:t>合计</w:t>
            </w:r>
          </w:p>
        </w:tc>
        <w:tc>
          <w:tcPr>
            <w:tcW w:w="1081" w:type="dxa"/>
            <w:tcBorders>
              <w:left w:val="single" w:color="auto" w:sz="4" w:space="0"/>
            </w:tcBorders>
            <w:vAlign w:val="center"/>
          </w:tcPr>
          <w:p w14:paraId="746442CB">
            <w:pPr>
              <w:spacing w:line="360" w:lineRule="auto"/>
              <w:jc w:val="center"/>
              <w:rPr>
                <w:rFonts w:asciiTheme="minorEastAsia" w:hAnsiTheme="minorEastAsia"/>
                <w:color w:val="auto"/>
                <w:sz w:val="24"/>
                <w:highlight w:val="none"/>
              </w:rPr>
            </w:pPr>
          </w:p>
        </w:tc>
      </w:tr>
    </w:tbl>
    <w:p w14:paraId="496AF944">
      <w:pPr>
        <w:spacing w:line="360" w:lineRule="auto"/>
        <w:rPr>
          <w:rFonts w:ascii="黑体" w:hAnsi="黑体" w:eastAsia="黑体" w:cs="宋体"/>
          <w:b/>
          <w:color w:val="auto"/>
          <w:kern w:val="0"/>
          <w:sz w:val="32"/>
          <w:szCs w:val="24"/>
          <w:highlight w:val="none"/>
        </w:rPr>
      </w:pPr>
    </w:p>
    <w:p w14:paraId="06F35AEC">
      <w:pPr>
        <w:spacing w:line="360" w:lineRule="auto"/>
        <w:rPr>
          <w:rFonts w:ascii="黑体" w:hAnsi="黑体" w:eastAsia="黑体" w:cs="宋体"/>
          <w:b/>
          <w:color w:val="auto"/>
          <w:kern w:val="0"/>
          <w:sz w:val="32"/>
          <w:szCs w:val="24"/>
          <w:highlight w:val="none"/>
        </w:rPr>
      </w:pPr>
    </w:p>
    <w:p w14:paraId="6B4F1FA6">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（三）《技术商务部分》的格式补充如下：</w:t>
      </w:r>
    </w:p>
    <w:p w14:paraId="678F737A">
      <w:pPr>
        <w:spacing w:line="360" w:lineRule="auto"/>
        <w:jc w:val="center"/>
        <w:rPr>
          <w:rFonts w:ascii="黑体" w:hAnsi="黑体" w:eastAsia="黑体" w:cs="宋体"/>
          <w:b/>
          <w:bCs/>
          <w:color w:val="auto"/>
          <w:kern w:val="0"/>
          <w:sz w:val="28"/>
          <w:szCs w:val="18"/>
          <w:highlight w:val="none"/>
        </w:rPr>
      </w:pPr>
    </w:p>
    <w:p w14:paraId="23C8648C">
      <w:pPr>
        <w:spacing w:line="360" w:lineRule="auto"/>
        <w:jc w:val="center"/>
        <w:rPr>
          <w:rFonts w:ascii="黑体" w:hAnsi="黑体" w:eastAsia="黑体" w:cs="宋体"/>
          <w:b/>
          <w:bCs/>
          <w:color w:val="auto"/>
          <w:kern w:val="0"/>
          <w:sz w:val="28"/>
          <w:szCs w:val="18"/>
          <w:highlight w:val="none"/>
        </w:rPr>
      </w:pPr>
      <w:r>
        <w:rPr>
          <w:rFonts w:ascii="黑体" w:hAnsi="黑体" w:eastAsia="黑体" w:cs="宋体"/>
          <w:b/>
          <w:bCs/>
          <w:color w:val="auto"/>
          <w:kern w:val="0"/>
          <w:sz w:val="28"/>
          <w:szCs w:val="18"/>
          <w:highlight w:val="none"/>
        </w:rPr>
        <w:t>四、投标人提交的其他资料</w:t>
      </w:r>
    </w:p>
    <w:p w14:paraId="64F3C985">
      <w:pPr>
        <w:spacing w:line="360" w:lineRule="auto"/>
        <w:jc w:val="center"/>
        <w:rPr>
          <w:rFonts w:ascii="黑体" w:hAnsi="黑体" w:eastAsia="黑体" w:cs="宋体"/>
          <w:b/>
          <w:bCs/>
          <w:color w:val="auto"/>
          <w:kern w:val="0"/>
          <w:sz w:val="28"/>
          <w:szCs w:val="18"/>
          <w:highlight w:val="none"/>
        </w:rPr>
      </w:pPr>
      <w:r>
        <w:rPr>
          <w:rFonts w:hint="eastAsia" w:ascii="黑体" w:hAnsi="黑体" w:eastAsia="黑体" w:cs="宋体"/>
          <w:b/>
          <w:bCs/>
          <w:color w:val="auto"/>
          <w:kern w:val="0"/>
          <w:sz w:val="28"/>
          <w:szCs w:val="18"/>
          <w:highlight w:val="none"/>
        </w:rPr>
        <w:t>（一）带“★”号条款逐条响应情况表</w:t>
      </w:r>
    </w:p>
    <w:p w14:paraId="5B3C3A90">
      <w:pPr>
        <w:spacing w:line="360" w:lineRule="auto"/>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14:paraId="726F0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14:paraId="195EE3B2">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条款号</w:t>
            </w:r>
          </w:p>
        </w:tc>
        <w:tc>
          <w:tcPr>
            <w:tcW w:w="3333" w:type="dxa"/>
            <w:vAlign w:val="center"/>
          </w:tcPr>
          <w:p w14:paraId="5EC745AB">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招标文件中带“★”号的条款</w:t>
            </w:r>
          </w:p>
        </w:tc>
        <w:tc>
          <w:tcPr>
            <w:tcW w:w="1836" w:type="dxa"/>
            <w:vAlign w:val="center"/>
          </w:tcPr>
          <w:p w14:paraId="4B295EF5">
            <w:pPr>
              <w:spacing w:line="360" w:lineRule="auto"/>
              <w:jc w:val="center"/>
              <w:rPr>
                <w:rFonts w:ascii="宋体" w:hAnsi="宋体" w:eastAsia="宋体" w:cs="Times New Roman"/>
                <w:color w:val="auto"/>
                <w:kern w:val="0"/>
                <w:sz w:val="20"/>
                <w:szCs w:val="24"/>
                <w:highlight w:val="none"/>
              </w:rPr>
            </w:pPr>
            <w:r>
              <w:rPr>
                <w:rFonts w:ascii="宋体" w:hAnsi="宋体" w:eastAsia="宋体" w:cs="Times New Roman"/>
                <w:color w:val="auto"/>
                <w:kern w:val="0"/>
                <w:sz w:val="20"/>
                <w:szCs w:val="24"/>
                <w:highlight w:val="none"/>
              </w:rPr>
              <w:t>投标响应</w:t>
            </w:r>
            <w:r>
              <w:rPr>
                <w:rFonts w:hint="eastAsia" w:ascii="宋体" w:hAnsi="宋体" w:eastAsia="宋体" w:cs="Times New Roman"/>
                <w:color w:val="auto"/>
                <w:kern w:val="0"/>
                <w:sz w:val="20"/>
                <w:szCs w:val="24"/>
                <w:highlight w:val="none"/>
              </w:rPr>
              <w:t>内容</w:t>
            </w:r>
          </w:p>
        </w:tc>
        <w:tc>
          <w:tcPr>
            <w:tcW w:w="2627" w:type="dxa"/>
            <w:vAlign w:val="center"/>
          </w:tcPr>
          <w:p w14:paraId="474FB417">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对应投标文件页码</w:t>
            </w:r>
          </w:p>
        </w:tc>
      </w:tr>
      <w:tr w14:paraId="4FB53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A948E45">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1F5FD091">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509DFAC6">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9782591">
            <w:pPr>
              <w:spacing w:line="360" w:lineRule="auto"/>
              <w:jc w:val="center"/>
              <w:rPr>
                <w:rFonts w:ascii="宋体" w:hAnsi="宋体" w:eastAsia="宋体" w:cs="Times New Roman"/>
                <w:color w:val="auto"/>
                <w:kern w:val="0"/>
                <w:sz w:val="20"/>
                <w:szCs w:val="24"/>
                <w:highlight w:val="none"/>
              </w:rPr>
            </w:pPr>
          </w:p>
        </w:tc>
      </w:tr>
      <w:tr w14:paraId="503EA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9A2F685">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117631B1">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2EEC95EC">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899A0B8">
            <w:pPr>
              <w:spacing w:line="360" w:lineRule="auto"/>
              <w:jc w:val="center"/>
              <w:rPr>
                <w:rFonts w:ascii="宋体" w:hAnsi="宋体" w:eastAsia="宋体" w:cs="Times New Roman"/>
                <w:color w:val="auto"/>
                <w:kern w:val="0"/>
                <w:sz w:val="20"/>
                <w:szCs w:val="24"/>
                <w:highlight w:val="none"/>
              </w:rPr>
            </w:pPr>
          </w:p>
        </w:tc>
      </w:tr>
      <w:tr w14:paraId="5A0F7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0E6FB389">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48DDC62F">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0FBA699E">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5A29267">
            <w:pPr>
              <w:spacing w:line="360" w:lineRule="auto"/>
              <w:jc w:val="center"/>
              <w:rPr>
                <w:rFonts w:ascii="宋体" w:hAnsi="宋体" w:eastAsia="宋体" w:cs="Times New Roman"/>
                <w:color w:val="auto"/>
                <w:kern w:val="0"/>
                <w:sz w:val="20"/>
                <w:szCs w:val="24"/>
                <w:highlight w:val="none"/>
              </w:rPr>
            </w:pPr>
          </w:p>
        </w:tc>
      </w:tr>
      <w:tr w14:paraId="03922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7577ED6">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5C6622F0">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2EE69128">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D7E844E">
            <w:pPr>
              <w:spacing w:line="360" w:lineRule="auto"/>
              <w:jc w:val="center"/>
              <w:rPr>
                <w:rFonts w:ascii="宋体" w:hAnsi="宋体" w:eastAsia="宋体" w:cs="Times New Roman"/>
                <w:color w:val="auto"/>
                <w:kern w:val="0"/>
                <w:sz w:val="20"/>
                <w:szCs w:val="24"/>
                <w:highlight w:val="none"/>
              </w:rPr>
            </w:pPr>
          </w:p>
        </w:tc>
      </w:tr>
      <w:tr w14:paraId="00FAC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58B7DDB">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07D7F6A8">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2A622123">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54D08BC8">
            <w:pPr>
              <w:spacing w:line="360" w:lineRule="auto"/>
              <w:jc w:val="center"/>
              <w:rPr>
                <w:rFonts w:ascii="宋体" w:hAnsi="宋体" w:eastAsia="宋体" w:cs="Times New Roman"/>
                <w:color w:val="auto"/>
                <w:kern w:val="0"/>
                <w:sz w:val="20"/>
                <w:szCs w:val="24"/>
                <w:highlight w:val="none"/>
              </w:rPr>
            </w:pPr>
          </w:p>
        </w:tc>
      </w:tr>
    </w:tbl>
    <w:p w14:paraId="2E03BEED">
      <w:pPr>
        <w:spacing w:line="380" w:lineRule="exact"/>
        <w:ind w:firstLine="482" w:firstLineChars="2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以上★号条款为招标文件中的所有★号条款，无论是技术指标或文字描述要求，投标人必须逐条如实地书面响应。</w:t>
      </w:r>
    </w:p>
    <w:p w14:paraId="28C3D252">
      <w:pPr>
        <w:spacing w:line="380" w:lineRule="exact"/>
        <w:ind w:firstLine="482" w:firstLineChars="200"/>
        <w:jc w:val="left"/>
        <w:rPr>
          <w:rFonts w:ascii="宋体" w:hAnsi="宋体" w:eastAsia="宋体" w:cs="Times New Roman"/>
          <w:b/>
          <w:color w:val="auto"/>
          <w:sz w:val="24"/>
          <w:szCs w:val="24"/>
          <w:highlight w:val="none"/>
        </w:rPr>
      </w:pPr>
    </w:p>
    <w:p w14:paraId="469E8858">
      <w:pPr>
        <w:spacing w:line="360" w:lineRule="auto"/>
        <w:ind w:firstLine="4200" w:firstLineChars="17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投标人全称（加盖公章）：</w:t>
      </w:r>
      <w:r>
        <w:rPr>
          <w:rFonts w:hint="eastAsia" w:ascii="宋体" w:hAnsi="宋体" w:eastAsia="宋体" w:cs="Times New Roman"/>
          <w:color w:val="auto"/>
          <w:sz w:val="24"/>
          <w:szCs w:val="24"/>
          <w:highlight w:val="none"/>
          <w:u w:val="single"/>
        </w:rPr>
        <w:t xml:space="preserve">           </w:t>
      </w:r>
    </w:p>
    <w:p w14:paraId="1473D65D">
      <w:pPr>
        <w:spacing w:line="360" w:lineRule="auto"/>
        <w:ind w:firstLine="4200" w:firstLineChars="17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 xml:space="preserve">日   期： </w:t>
      </w:r>
      <w:r>
        <w:rPr>
          <w:rFonts w:hint="eastAsia" w:ascii="宋体" w:hAnsi="宋体" w:eastAsia="宋体" w:cs="Times New Roman"/>
          <w:color w:val="auto"/>
          <w:sz w:val="24"/>
          <w:szCs w:val="24"/>
          <w:highlight w:val="none"/>
          <w:u w:val="single"/>
        </w:rPr>
        <w:t xml:space="preserve">                        </w:t>
      </w:r>
    </w:p>
    <w:p w14:paraId="2DF1180E">
      <w:pPr>
        <w:spacing w:line="360" w:lineRule="auto"/>
        <w:jc w:val="center"/>
        <w:rPr>
          <w:rFonts w:ascii="黑体" w:hAnsi="黑体" w:eastAsia="黑体" w:cs="宋体"/>
          <w:b/>
          <w:bCs/>
          <w:color w:val="auto"/>
          <w:kern w:val="0"/>
          <w:sz w:val="28"/>
          <w:szCs w:val="18"/>
          <w:highlight w:val="none"/>
        </w:rPr>
      </w:pPr>
      <w:bookmarkStart w:id="25" w:name="_Toc100307875"/>
    </w:p>
    <w:p w14:paraId="4FB1CD7A">
      <w:pPr>
        <w:spacing w:line="360" w:lineRule="auto"/>
        <w:jc w:val="center"/>
        <w:rPr>
          <w:rFonts w:ascii="黑体" w:hAnsi="黑体" w:eastAsia="黑体" w:cs="宋体"/>
          <w:b/>
          <w:bCs/>
          <w:color w:val="auto"/>
          <w:kern w:val="0"/>
          <w:sz w:val="28"/>
          <w:szCs w:val="18"/>
          <w:highlight w:val="none"/>
        </w:rPr>
      </w:pPr>
      <w:r>
        <w:rPr>
          <w:rFonts w:hint="eastAsia" w:ascii="黑体" w:hAnsi="黑体" w:eastAsia="黑体" w:cs="宋体"/>
          <w:b/>
          <w:bCs/>
          <w:color w:val="auto"/>
          <w:kern w:val="0"/>
          <w:sz w:val="28"/>
          <w:szCs w:val="18"/>
          <w:highlight w:val="none"/>
        </w:rPr>
        <w:t>（二）技术商务评分响应索引表</w:t>
      </w:r>
      <w:bookmarkEnd w:id="25"/>
    </w:p>
    <w:tbl>
      <w:tblPr>
        <w:tblStyle w:val="17"/>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14:paraId="5F74AE5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7D72BCD1">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序号</w:t>
            </w:r>
          </w:p>
        </w:tc>
        <w:tc>
          <w:tcPr>
            <w:tcW w:w="4732" w:type="dxa"/>
            <w:vAlign w:val="center"/>
          </w:tcPr>
          <w:p w14:paraId="7F8DB587">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评分标准要求</w:t>
            </w:r>
          </w:p>
        </w:tc>
        <w:tc>
          <w:tcPr>
            <w:tcW w:w="3022" w:type="dxa"/>
            <w:vAlign w:val="center"/>
          </w:tcPr>
          <w:p w14:paraId="42B305FB">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对应投标文件页码</w:t>
            </w:r>
          </w:p>
        </w:tc>
      </w:tr>
      <w:tr w14:paraId="70A8F09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2135A681">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技术因素评分</w:t>
            </w:r>
          </w:p>
        </w:tc>
      </w:tr>
      <w:tr w14:paraId="4638038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8DC3B94">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1-1</w:t>
            </w:r>
          </w:p>
        </w:tc>
        <w:tc>
          <w:tcPr>
            <w:tcW w:w="4732" w:type="dxa"/>
            <w:vAlign w:val="center"/>
          </w:tcPr>
          <w:p w14:paraId="4F4B262D">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0AE3404B">
            <w:pPr>
              <w:spacing w:beforeLines="50" w:afterLines="50"/>
              <w:jc w:val="center"/>
              <w:rPr>
                <w:rFonts w:ascii="宋体" w:hAnsi="宋体" w:eastAsia="黑体" w:cs="Times New Roman"/>
                <w:b/>
                <w:bCs/>
                <w:color w:val="auto"/>
                <w:sz w:val="24"/>
                <w:szCs w:val="32"/>
                <w:highlight w:val="none"/>
              </w:rPr>
            </w:pPr>
          </w:p>
        </w:tc>
      </w:tr>
      <w:tr w14:paraId="780FB39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A20FC12">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1-2</w:t>
            </w:r>
          </w:p>
        </w:tc>
        <w:tc>
          <w:tcPr>
            <w:tcW w:w="4732" w:type="dxa"/>
            <w:vAlign w:val="center"/>
          </w:tcPr>
          <w:p w14:paraId="33154626">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3BD28E93">
            <w:pPr>
              <w:spacing w:beforeLines="50" w:afterLines="50"/>
              <w:jc w:val="center"/>
              <w:rPr>
                <w:rFonts w:ascii="宋体" w:hAnsi="宋体" w:eastAsia="黑体" w:cs="Times New Roman"/>
                <w:b/>
                <w:bCs/>
                <w:color w:val="auto"/>
                <w:sz w:val="24"/>
                <w:szCs w:val="32"/>
                <w:highlight w:val="none"/>
              </w:rPr>
            </w:pPr>
          </w:p>
        </w:tc>
      </w:tr>
      <w:tr w14:paraId="74FD1C4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75D7F260">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商务因素评分</w:t>
            </w:r>
          </w:p>
        </w:tc>
      </w:tr>
      <w:tr w14:paraId="0C2325E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252BBEBD">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2-1</w:t>
            </w:r>
          </w:p>
        </w:tc>
        <w:tc>
          <w:tcPr>
            <w:tcW w:w="4732" w:type="dxa"/>
            <w:vAlign w:val="center"/>
          </w:tcPr>
          <w:p w14:paraId="3F55BCD3">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2F0F545C">
            <w:pPr>
              <w:spacing w:beforeLines="50" w:afterLines="50"/>
              <w:jc w:val="center"/>
              <w:rPr>
                <w:rFonts w:ascii="宋体" w:hAnsi="宋体" w:eastAsia="黑体" w:cs="Times New Roman"/>
                <w:b/>
                <w:bCs/>
                <w:color w:val="auto"/>
                <w:sz w:val="24"/>
                <w:szCs w:val="32"/>
                <w:highlight w:val="none"/>
              </w:rPr>
            </w:pPr>
          </w:p>
        </w:tc>
      </w:tr>
      <w:tr w14:paraId="10E1CB6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FFE596E">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2-2</w:t>
            </w:r>
          </w:p>
        </w:tc>
        <w:tc>
          <w:tcPr>
            <w:tcW w:w="4732" w:type="dxa"/>
            <w:vAlign w:val="center"/>
          </w:tcPr>
          <w:p w14:paraId="3E081E80">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40D6B2FE">
            <w:pPr>
              <w:spacing w:beforeLines="50" w:afterLines="50"/>
              <w:jc w:val="center"/>
              <w:rPr>
                <w:rFonts w:ascii="宋体" w:hAnsi="宋体" w:eastAsia="黑体" w:cs="Times New Roman"/>
                <w:b/>
                <w:bCs/>
                <w:color w:val="auto"/>
                <w:sz w:val="24"/>
                <w:szCs w:val="32"/>
                <w:highlight w:val="none"/>
              </w:rPr>
            </w:pPr>
          </w:p>
        </w:tc>
      </w:tr>
    </w:tbl>
    <w:p w14:paraId="22169237">
      <w:pPr>
        <w:spacing w:line="360" w:lineRule="auto"/>
        <w:jc w:val="left"/>
        <w:rPr>
          <w:rFonts w:cs="宋体" w:asciiTheme="minorEastAsia" w:hAnsiTheme="minorEastAsia"/>
          <w:bCs/>
          <w:color w:val="auto"/>
          <w:kern w:val="0"/>
          <w:sz w:val="24"/>
          <w:szCs w:val="24"/>
          <w:highlight w:val="none"/>
        </w:rPr>
      </w:pPr>
    </w:p>
    <w:p w14:paraId="2C8D816D">
      <w:pPr>
        <w:rPr>
          <w:color w:val="auto"/>
          <w:highlight w:val="none"/>
        </w:rPr>
        <w:sectPr>
          <w:pgSz w:w="11906" w:h="16838"/>
          <w:pgMar w:top="1418" w:right="1418" w:bottom="1418" w:left="1418" w:header="851" w:footer="992" w:gutter="0"/>
          <w:cols w:space="425" w:num="1"/>
          <w:docGrid w:type="lines" w:linePitch="312" w:charSpace="0"/>
        </w:sectPr>
      </w:pPr>
    </w:p>
    <w:p w14:paraId="640E0F3D">
      <w:pPr>
        <w:spacing w:beforeLines="50" w:afterLines="50"/>
        <w:jc w:val="center"/>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关于</w:t>
      </w:r>
      <w:r>
        <w:rPr>
          <w:rFonts w:hint="eastAsia" w:ascii="黑体" w:hAnsi="黑体" w:eastAsia="黑体" w:cs="Times New Roman"/>
          <w:color w:val="auto"/>
          <w:sz w:val="32"/>
          <w:szCs w:val="32"/>
          <w:highlight w:val="none"/>
        </w:rPr>
        <w:t>串标情形及后果的告知函</w:t>
      </w:r>
    </w:p>
    <w:p w14:paraId="402AEB67">
      <w:pPr>
        <w:spacing w:line="360" w:lineRule="auto"/>
        <w:ind w:firstLine="482" w:firstLineChars="200"/>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3AA83925">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一、串标情形</w:t>
      </w:r>
    </w:p>
    <w:p w14:paraId="46084F43">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1、《政府采购法》第二十五条</w:t>
      </w:r>
      <w:r>
        <w:rPr>
          <w:rFonts w:hint="eastAsia" w:ascii="宋体" w:hAnsi="宋体" w:eastAsia="宋体" w:cs="Times New Roman"/>
          <w:color w:val="auto"/>
          <w:sz w:val="24"/>
          <w:szCs w:val="28"/>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6A311A37">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2、《政府采购法实施条例》第七十四条</w:t>
      </w:r>
      <w:r>
        <w:rPr>
          <w:rFonts w:hint="eastAsia" w:ascii="宋体" w:hAnsi="宋体" w:eastAsia="宋体" w:cs="Times New Roman"/>
          <w:color w:val="auto"/>
          <w:sz w:val="24"/>
          <w:szCs w:val="28"/>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3EBBE856">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（一）供应商直接或者间接从采购人或者采购代理机构处获得其他供应商的相关情况并修改其投标文件或者响应文件；</w:t>
      </w:r>
    </w:p>
    <w:p w14:paraId="31523F13">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（二）供应商按照采购人或者采购代理机构的授意撤换、修改投标文件或者响应文件；</w:t>
      </w:r>
    </w:p>
    <w:p w14:paraId="6B555DDC">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（三）供应商之间协商报价、技术方案等投标文件或者响应文件的实质性内容；</w:t>
      </w:r>
    </w:p>
    <w:p w14:paraId="77B2A118">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（四）属于同一集团、协会、商会等组织成员的供应商按照该组织要求协同参加政府采购活动；</w:t>
      </w:r>
    </w:p>
    <w:p w14:paraId="1B4487B6">
      <w:pPr>
        <w:spacing w:line="360" w:lineRule="auto"/>
        <w:ind w:firstLine="480" w:firstLineChars="200"/>
        <w:rPr>
          <w:rFonts w:ascii="宋体" w:hAnsi="宋体" w:eastAsia="宋体" w:cs="Times New Roman"/>
          <w:color w:val="auto"/>
          <w:sz w:val="24"/>
          <w:szCs w:val="28"/>
          <w:highlight w:val="none"/>
        </w:rPr>
      </w:pPr>
      <w:bookmarkStart w:id="26" w:name="_Toc100307870"/>
      <w:r>
        <w:rPr>
          <w:rFonts w:hint="eastAsia" w:ascii="宋体" w:hAnsi="宋体" w:eastAsia="宋体" w:cs="Times New Roman"/>
          <w:color w:val="auto"/>
          <w:sz w:val="24"/>
          <w:szCs w:val="28"/>
          <w:highlight w:val="none"/>
        </w:rPr>
        <w:t>（五）供应商之间事先约定由某一特定供应商中标、成交；</w:t>
      </w:r>
      <w:bookmarkEnd w:id="26"/>
    </w:p>
    <w:p w14:paraId="5D54E67C">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（六）供应商之间商定部分供应商放弃参加政府采购活动或者放弃中标、成交；</w:t>
      </w:r>
    </w:p>
    <w:p w14:paraId="16535B86">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（七）供应商与采购人或者采购代理机构之间、供应商相互之间，为谋求特定供应商中标、成交或者排斥其他供应商的其他串通行为。</w:t>
      </w:r>
    </w:p>
    <w:p w14:paraId="1FB736B4">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3、《政府采购货物和服务招标投标管理办法》（财政部令第87号）第三十七条</w:t>
      </w:r>
      <w:r>
        <w:rPr>
          <w:rFonts w:hint="eastAsia" w:ascii="宋体" w:hAnsi="宋体" w:eastAsia="宋体" w:cs="Times New Roman"/>
          <w:color w:val="auto"/>
          <w:sz w:val="24"/>
          <w:szCs w:val="28"/>
          <w:highlight w:val="none"/>
        </w:rPr>
        <w:t>：有下列情形之一的，视为投标人串通投标，其投标无效：</w:t>
      </w:r>
    </w:p>
    <w:p w14:paraId="083A505A">
      <w:pPr>
        <w:spacing w:line="360" w:lineRule="auto"/>
        <w:ind w:firstLine="480" w:firstLineChars="200"/>
        <w:rPr>
          <w:rFonts w:ascii="宋体" w:hAnsi="宋体" w:eastAsia="宋体" w:cs="Times New Roman"/>
          <w:color w:val="auto"/>
          <w:sz w:val="24"/>
          <w:szCs w:val="28"/>
          <w:highlight w:val="none"/>
        </w:rPr>
      </w:pPr>
      <w:bookmarkStart w:id="27" w:name="_Toc100307871"/>
      <w:r>
        <w:rPr>
          <w:rFonts w:hint="eastAsia" w:ascii="宋体" w:hAnsi="宋体" w:eastAsia="宋体" w:cs="Times New Roman"/>
          <w:color w:val="auto"/>
          <w:sz w:val="24"/>
          <w:szCs w:val="28"/>
          <w:highlight w:val="none"/>
        </w:rPr>
        <w:t>（一）不同投标人的投标文件由同一单位或者个人编制；</w:t>
      </w:r>
      <w:bookmarkEnd w:id="27"/>
    </w:p>
    <w:p w14:paraId="10A8B393">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（二）不同投标人委托同一单位或者个人办理投标事宜；</w:t>
      </w:r>
    </w:p>
    <w:p w14:paraId="55E11D0B">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（三）不同投标人的投标文件载明的项目管理成员或者联系人员为同一人；</w:t>
      </w:r>
    </w:p>
    <w:p w14:paraId="4A2DA79E">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（四）不同投标人的投标文件异常一致或者投标报价呈规律性差异；</w:t>
      </w:r>
    </w:p>
    <w:p w14:paraId="06148B94">
      <w:pPr>
        <w:spacing w:line="360" w:lineRule="auto"/>
        <w:ind w:firstLine="480" w:firstLineChars="200"/>
        <w:rPr>
          <w:rFonts w:ascii="宋体" w:hAnsi="宋体" w:eastAsia="宋体" w:cs="Times New Roman"/>
          <w:color w:val="auto"/>
          <w:sz w:val="24"/>
          <w:szCs w:val="28"/>
          <w:highlight w:val="none"/>
        </w:rPr>
      </w:pPr>
      <w:bookmarkStart w:id="28" w:name="_Toc100307872"/>
      <w:r>
        <w:rPr>
          <w:rFonts w:hint="eastAsia" w:ascii="宋体" w:hAnsi="宋体" w:eastAsia="宋体" w:cs="Times New Roman"/>
          <w:color w:val="auto"/>
          <w:sz w:val="24"/>
          <w:szCs w:val="28"/>
          <w:highlight w:val="none"/>
        </w:rPr>
        <w:t>（五）不同投标人的投标文件相互混装；</w:t>
      </w:r>
      <w:bookmarkEnd w:id="28"/>
    </w:p>
    <w:p w14:paraId="49326B7B">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（六）不同投标人的投标保证金从同一单位或者个人的账户转出。</w:t>
      </w:r>
    </w:p>
    <w:p w14:paraId="20556BC0">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4、《福建省财政厅关于电子化政府采购项目中视为串标情形认定与处理的指导意见》（闽财购〔2018〕30号</w:t>
      </w:r>
      <w:r>
        <w:rPr>
          <w:rFonts w:ascii="宋体" w:hAnsi="宋体" w:eastAsia="宋体" w:cs="Times New Roman"/>
          <w:b/>
          <w:color w:val="auto"/>
          <w:sz w:val="24"/>
          <w:szCs w:val="28"/>
          <w:highlight w:val="none"/>
        </w:rPr>
        <w:t>）</w:t>
      </w:r>
    </w:p>
    <w:p w14:paraId="197743B2">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一、电子化招标项目视为串通情形的认定 </w:t>
      </w:r>
    </w:p>
    <w:p w14:paraId="13D2487B">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（一）保证金验核阶段 </w:t>
      </w:r>
    </w:p>
    <w:p w14:paraId="1ECB2DDF">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386474CB">
      <w:pPr>
        <w:spacing w:line="360" w:lineRule="auto"/>
        <w:ind w:firstLine="480" w:firstLineChars="200"/>
        <w:rPr>
          <w:rFonts w:ascii="宋体" w:hAnsi="宋体" w:eastAsia="宋体" w:cs="Times New Roman"/>
          <w:color w:val="auto"/>
          <w:sz w:val="24"/>
          <w:szCs w:val="28"/>
          <w:highlight w:val="none"/>
        </w:rPr>
      </w:pPr>
      <w:bookmarkStart w:id="29" w:name="_Toc100307873"/>
      <w:r>
        <w:rPr>
          <w:rFonts w:hint="eastAsia" w:ascii="宋体" w:hAnsi="宋体" w:eastAsia="宋体" w:cs="Times New Roman"/>
          <w:color w:val="auto"/>
          <w:sz w:val="24"/>
          <w:szCs w:val="28"/>
          <w:highlight w:val="none"/>
        </w:rPr>
        <w:t>（二）电子响应文件解密阶段</w:t>
      </w:r>
      <w:bookmarkEnd w:id="29"/>
      <w:r>
        <w:rPr>
          <w:rFonts w:hint="eastAsia" w:ascii="宋体" w:hAnsi="宋体" w:eastAsia="宋体" w:cs="Times New Roman"/>
          <w:color w:val="auto"/>
          <w:sz w:val="24"/>
          <w:szCs w:val="28"/>
          <w:highlight w:val="none"/>
        </w:rPr>
        <w:t xml:space="preserve"> </w:t>
      </w:r>
    </w:p>
    <w:p w14:paraId="7E3CDF46">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电子响应文件的个性特征与本采购项目的其他响应人存在雷同的，按照以下方式进行认定：</w:t>
      </w:r>
    </w:p>
    <w:p w14:paraId="6599D217">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73BA4F87">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4CD9FDAE">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2F782F86">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5、《福建省财政厅关于福建省省级政府采购货物和服务项目招标文件编制指引和实施指引的补充通知（三）》（闽财购〔2010〕28号）</w:t>
      </w:r>
    </w:p>
    <w:p w14:paraId="76FC8582">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评标委员会在评标过程中发现投标人存在下列情形之一的，可认定其有串通投标行为，并做出其投标无效的决定： </w:t>
      </w:r>
    </w:p>
    <w:p w14:paraId="26A96ED8">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（一）不同投标人的投标文件错、漏之处一致或雷同，且不能合理解释的； </w:t>
      </w:r>
    </w:p>
    <w:p w14:paraId="6A46212A">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（二）不同的投标人的法定代表人、委托代理人等由同一个单位缴纳社会保险的； </w:t>
      </w:r>
    </w:p>
    <w:p w14:paraId="38FA4A83">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（三）由同一人或分别由几个有利害关系人携带两个以上（含两个）投标人的企业资料参与资格审查、领取招标资料，或代表两个以上（含两个）投标人参加招标答疑会、交纳或退还投标保证金、开标的； </w:t>
      </w:r>
    </w:p>
    <w:p w14:paraId="5B7F9D78">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（四）有关法律、法规或规章规定的其他串通投标行为。</w:t>
      </w:r>
    </w:p>
    <w:p w14:paraId="73F47483">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二、后果</w:t>
      </w:r>
    </w:p>
    <w:p w14:paraId="1CD6BE55">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1、《政府采购法》第七十七条</w:t>
      </w:r>
      <w:r>
        <w:rPr>
          <w:rFonts w:hint="eastAsia" w:ascii="宋体" w:hAnsi="宋体" w:eastAsia="宋体" w:cs="Times New Roman"/>
          <w:color w:val="auto"/>
          <w:sz w:val="24"/>
          <w:szCs w:val="28"/>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D6CF82A">
      <w:pPr>
        <w:spacing w:line="360" w:lineRule="auto"/>
        <w:ind w:firstLine="480" w:firstLineChars="200"/>
        <w:rPr>
          <w:rFonts w:ascii="宋体" w:hAnsi="宋体" w:eastAsia="宋体" w:cs="Times New Roman"/>
          <w:color w:val="auto"/>
          <w:sz w:val="24"/>
          <w:szCs w:val="28"/>
          <w:highlight w:val="none"/>
        </w:rPr>
      </w:pPr>
      <w:bookmarkStart w:id="30" w:name="_Toc100307874"/>
      <w:r>
        <w:rPr>
          <w:rFonts w:hint="eastAsia" w:ascii="宋体" w:hAnsi="宋体" w:eastAsia="宋体" w:cs="Times New Roman"/>
          <w:color w:val="auto"/>
          <w:sz w:val="24"/>
          <w:szCs w:val="28"/>
          <w:highlight w:val="none"/>
        </w:rPr>
        <w:t>（三）与采购人、其他供应商或者采购代理机构恶意串通的；</w:t>
      </w:r>
      <w:bookmarkEnd w:id="30"/>
    </w:p>
    <w:p w14:paraId="712C43BE">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供应商有前款第（一）至（五）项情形之一的，中标、成交无效。</w:t>
      </w:r>
    </w:p>
    <w:p w14:paraId="7B255E6D">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2、《福建省财政厅关于电子化政府采购项目中视为串标情形认定与处理的指导意见》（闽财购〔2018〕30号</w:t>
      </w:r>
      <w:r>
        <w:rPr>
          <w:rFonts w:ascii="宋体" w:hAnsi="宋体" w:eastAsia="宋体" w:cs="Times New Roman"/>
          <w:b/>
          <w:color w:val="auto"/>
          <w:sz w:val="24"/>
          <w:szCs w:val="28"/>
          <w:highlight w:val="none"/>
        </w:rPr>
        <w:t>）</w:t>
      </w:r>
    </w:p>
    <w:p w14:paraId="4E0C921D">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0E4D5166">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三、虚假应标风险提示</w:t>
      </w:r>
    </w:p>
    <w:p w14:paraId="068D75D1">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303CE1EB">
      <w:pPr>
        <w:pStyle w:val="3"/>
        <w:spacing w:beforeLines="100" w:afterLines="100" w:line="240" w:lineRule="auto"/>
        <w:jc w:val="left"/>
        <w:rPr>
          <w:rFonts w:ascii="黑体" w:hAnsi="黑体" w:eastAsia="黑体" w:cs="Times New Roman"/>
          <w:color w:val="auto"/>
          <w:kern w:val="0"/>
          <w:sz w:val="30"/>
          <w:highlight w:val="none"/>
        </w:rPr>
      </w:pPr>
      <w:bookmarkStart w:id="31" w:name="_Toc139103826"/>
      <w:r>
        <w:rPr>
          <w:rFonts w:ascii="黑体" w:hAnsi="黑体" w:eastAsia="黑体" w:cs="Times New Roman"/>
          <w:color w:val="auto"/>
          <w:kern w:val="0"/>
          <w:sz w:val="30"/>
          <w:highlight w:val="none"/>
        </w:rPr>
        <w:t>四、其他事项</w:t>
      </w:r>
      <w:bookmarkEnd w:id="31"/>
    </w:p>
    <w:p w14:paraId="77F8830C">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1、除招标文件另有规定外，若出现有关法律、法规和规章有强制性规定但招标文件未列明的情形，则投标人应按照有关法律、法规和规章强制性规定执行。</w:t>
      </w:r>
    </w:p>
    <w:p w14:paraId="3F36C888">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2、其他：</w:t>
      </w:r>
    </w:p>
    <w:p w14:paraId="5A6F6174">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详见其他商务要求中的“补充条款”。</w:t>
      </w:r>
    </w:p>
    <w:p w14:paraId="41E27ACE">
      <w:pPr>
        <w:rPr>
          <w:color w:val="auto"/>
          <w:highlight w:val="none"/>
        </w:rPr>
        <w:sectPr>
          <w:pgSz w:w="11906" w:h="16838"/>
          <w:pgMar w:top="1418" w:right="1418" w:bottom="1418" w:left="1418" w:header="851" w:footer="992" w:gutter="0"/>
          <w:cols w:space="425" w:num="1"/>
          <w:docGrid w:type="lines" w:linePitch="312" w:charSpace="0"/>
        </w:sectPr>
      </w:pPr>
    </w:p>
    <w:p w14:paraId="076037D8">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32" w:name="_Toc139103827"/>
      <w:r>
        <w:rPr>
          <w:rFonts w:ascii="黑体" w:hAnsi="黑体" w:eastAsia="黑体" w:cs="Times New Roman"/>
          <w:color w:val="auto"/>
          <w:kern w:val="0"/>
          <w:sz w:val="32"/>
          <w:szCs w:val="44"/>
          <w:highlight w:val="none"/>
        </w:rPr>
        <w:t>第六章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政府采购合同</w:t>
      </w:r>
      <w:bookmarkEnd w:id="32"/>
    </w:p>
    <w:p w14:paraId="4A1570EB">
      <w:pPr>
        <w:pStyle w:val="54"/>
        <w:widowControl w:val="0"/>
        <w:jc w:val="center"/>
        <w:rPr>
          <w:rFonts w:hint="default"/>
          <w:color w:val="auto"/>
          <w:highlight w:val="none"/>
        </w:rPr>
      </w:pPr>
      <w:r>
        <w:rPr>
          <w:b/>
          <w:color w:val="auto"/>
          <w:sz w:val="28"/>
          <w:highlight w:val="none"/>
        </w:rPr>
        <w:t>参考文本</w:t>
      </w:r>
    </w:p>
    <w:p w14:paraId="2BD2D992">
      <w:pPr>
        <w:rPr>
          <w:color w:val="auto"/>
          <w:highlight w:val="none"/>
        </w:rPr>
      </w:pPr>
    </w:p>
    <w:p w14:paraId="57D05AEE">
      <w:pPr>
        <w:spacing w:line="360" w:lineRule="auto"/>
        <w:jc w:val="center"/>
        <w:rPr>
          <w:rFonts w:ascii="Times New Roman" w:hAnsi="Times New Roman" w:eastAsia="宋体" w:cs="Times New Roman"/>
          <w:color w:val="auto"/>
          <w:sz w:val="32"/>
          <w:szCs w:val="32"/>
          <w:highlight w:val="none"/>
        </w:rPr>
      </w:pPr>
    </w:p>
    <w:p w14:paraId="20B3B83F">
      <w:pPr>
        <w:spacing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政府采购货物买卖合同</w:t>
      </w:r>
    </w:p>
    <w:p w14:paraId="0815379B">
      <w:pPr>
        <w:spacing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（试行）</w:t>
      </w:r>
    </w:p>
    <w:p w14:paraId="2BF4CED5">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项目名称：__________________________</w:t>
      </w:r>
    </w:p>
    <w:p w14:paraId="2C074E50">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合同编号：__________________________</w:t>
      </w:r>
    </w:p>
    <w:p w14:paraId="6F4C50F8">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甲    方：__________________________</w:t>
      </w:r>
    </w:p>
    <w:p w14:paraId="39BBDC59">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乙    方：__________________________</w:t>
      </w:r>
    </w:p>
    <w:p w14:paraId="19A68D21">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签订时间：__________________________</w:t>
      </w:r>
    </w:p>
    <w:p w14:paraId="70DBF58A">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rPr>
        <w:t xml:space="preserve"> </w:t>
      </w:r>
    </w:p>
    <w:p w14:paraId="1C658388">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使用说明</w:t>
      </w:r>
    </w:p>
    <w:p w14:paraId="51DDB646">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1.本合同标准文本适用于购买现成货物的采购项目，不包括需要供应商定制开发、创新研发的货物采购项目。</w:t>
      </w:r>
    </w:p>
    <w:p w14:paraId="6AD41296">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2.本合同标准文本为政府采购货物买卖合同编制提供参考，可以结合采购项目具体情况，对文本作必要的调整修订后使用。</w:t>
      </w:r>
    </w:p>
    <w:p w14:paraId="09DA5E9E">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3.本合同标准文本各条款中，如涉及填写多家供应商、制造商，多种采购标的、分包主要内容等信息的，可根据采购项目具体情况添加信息项。</w:t>
      </w:r>
    </w:p>
    <w:p w14:paraId="49E08557">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第一节</w:t>
      </w:r>
      <w:r>
        <w:rPr>
          <w:rFonts w:hint="eastAsia" w:ascii="Times New Roman" w:hAnsi="Times New Roman" w:eastAsia="宋体" w:cs="Times New Roman"/>
          <w:b/>
          <w:color w:val="auto"/>
          <w:sz w:val="32"/>
          <w:szCs w:val="32"/>
          <w:highlight w:val="none"/>
        </w:rPr>
        <w:t xml:space="preserve">  </w:t>
      </w:r>
      <w:r>
        <w:rPr>
          <w:rFonts w:ascii="Times New Roman" w:hAnsi="Times New Roman" w:eastAsia="宋体" w:cs="Times New Roman"/>
          <w:b/>
          <w:color w:val="auto"/>
          <w:sz w:val="32"/>
          <w:szCs w:val="32"/>
          <w:highlight w:val="none"/>
        </w:rPr>
        <w:t>政府采购合同协议书</w:t>
      </w:r>
    </w:p>
    <w:p w14:paraId="0D384406">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甲方（全称）：___________________________（采购人、受采购人委托签订合同的单位或采购文件约定的合同甲方）</w:t>
      </w:r>
    </w:p>
    <w:p w14:paraId="48683E82">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乙方1（全称）：___________________________（供应商）</w:t>
      </w:r>
    </w:p>
    <w:p w14:paraId="33A04752">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乙方2（全称）：_______________（联合体成员供应商或其他合同主体）（如有）</w:t>
      </w:r>
    </w:p>
    <w:p w14:paraId="0933CD6A">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乙方3（全称）：_______________（联合体成员供应商或其他合同主体）（如有）</w:t>
      </w:r>
    </w:p>
    <w:p w14:paraId="21CF1D7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49169F4F">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1.项目信息</w:t>
      </w:r>
    </w:p>
    <w:p w14:paraId="41CBF57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（1）采购项目名称：________________________</w:t>
      </w:r>
    </w:p>
    <w:p w14:paraId="0793BF0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 xml:space="preserve"> 采购项目编号：____________________________</w:t>
      </w:r>
    </w:p>
    <w:p w14:paraId="50F2425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（2）采购计划编号：________________________</w:t>
      </w:r>
    </w:p>
    <w:p w14:paraId="545B3C6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（3）项目内容：</w:t>
      </w:r>
    </w:p>
    <w:p w14:paraId="0409A80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采购标的及数量（台/套/个/架/组等）：___________________</w:t>
      </w:r>
    </w:p>
    <w:p w14:paraId="2A3285E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品牌： ___________________ 规格型号：__________________</w:t>
      </w:r>
    </w:p>
    <w:p w14:paraId="6A0A370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采购标的的技术要求、商务要求具体见附件。</w:t>
      </w:r>
    </w:p>
    <w:p w14:paraId="5F44C42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①涉及信息类产品，请填写该产品关键部件的品牌、型号：</w:t>
      </w:r>
    </w:p>
    <w:p w14:paraId="6D90B6E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标的名称： ___________________</w:t>
      </w:r>
    </w:p>
    <w:p w14:paraId="4473922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关键部件： ____________品牌：____________型号： ________________</w:t>
      </w:r>
    </w:p>
    <w:p w14:paraId="5F5A9C5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关键部件： ____________品牌：____________型号： ________________</w:t>
      </w:r>
    </w:p>
    <w:p w14:paraId="280BC14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关键部件： ____________品牌：____________型号： ________________</w:t>
      </w:r>
    </w:p>
    <w:p w14:paraId="324A21B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（注：关键部件是指财政部会同有关部门发布的政府采购需求标准规定的需要通过国家有关部门指定的测评机构开展的安全可靠测评的软硬件，如CPU芯片、操作系统、数据库等。）</w:t>
      </w:r>
    </w:p>
    <w:p w14:paraId="0AAC4BC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②涉及车辆采购，请填写是否属于新能源汽车：</w:t>
      </w:r>
    </w:p>
    <w:p w14:paraId="298D448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是，《政府采购品目分类目录》底级品目名称：_____数量：_____金额：_____</w:t>
      </w:r>
    </w:p>
    <w:p w14:paraId="05A7BDC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37458D2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（4）政府采购组织形式：政府集中采购 部门集中采购 分散采购</w:t>
      </w:r>
    </w:p>
    <w:p w14:paraId="432C4EB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（5）政府采购方式：公开招标 邀请招标 竞争性谈判 竞争性磋商询价 单一来源 框架协议 其他：____________________</w:t>
      </w:r>
    </w:p>
    <w:p w14:paraId="171086A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（6）中标（成交）采购标的制造商是否为中小企业：是否</w:t>
      </w:r>
    </w:p>
    <w:p w14:paraId="492F95E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本合同是否为专门面向中小企业的采购合同（中小企业预留合同）：是否</w:t>
      </w:r>
    </w:p>
    <w:p w14:paraId="0EE33A3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若本项目不专门面向中小企业采购，是否给予小微企业评审优惠：是否</w:t>
      </w:r>
    </w:p>
    <w:p w14:paraId="60B9171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中标（成交）采购标的制造商是否为残疾人福利性单位：是否</w:t>
      </w:r>
    </w:p>
    <w:p w14:paraId="395FE58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中标（成交）采购标的制造商是否为监狱企业：是否</w:t>
      </w:r>
    </w:p>
    <w:p w14:paraId="4836073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（7）合同是否分包：是否</w:t>
      </w:r>
    </w:p>
    <w:p w14:paraId="4BBB3FD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分包主要内容：________________________________________</w:t>
      </w:r>
    </w:p>
    <w:p w14:paraId="45B4857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分包供应商/制造商名称（如供应商和制造商不同，请分别填写）：</w:t>
      </w:r>
    </w:p>
    <w:p w14:paraId="43068F7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________________________________________</w:t>
      </w:r>
    </w:p>
    <w:p w14:paraId="587A308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分包供应商/制造商类型（如果供应商和制造商不同，只填写制造商类型）：</w:t>
      </w:r>
    </w:p>
    <w:p w14:paraId="7FA43EF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大型企业中型企业小微型企业</w:t>
      </w:r>
    </w:p>
    <w:p w14:paraId="00F0C97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残疾人福利性单位监狱企业其他</w:t>
      </w:r>
    </w:p>
    <w:p w14:paraId="2BC17D0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（8）中标（成交）供应商是否为外商投资企业：是否</w:t>
      </w:r>
    </w:p>
    <w:p w14:paraId="40E3070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外商投资企业类型：全部由外国投资者投资部分由外国投资者投资</w:t>
      </w:r>
    </w:p>
    <w:p w14:paraId="72BB851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（9）是否涉及进口产品：</w:t>
      </w:r>
    </w:p>
    <w:p w14:paraId="56C2FC4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是，《政府采购品目分类目录》底级品目名称：__________  金额：__________</w:t>
      </w:r>
    </w:p>
    <w:p w14:paraId="7508462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国别：__________  品牌：__________  规格型号__________</w:t>
      </w:r>
    </w:p>
    <w:p w14:paraId="32602A4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42CADBE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（10）是否涉及节能产品：</w:t>
      </w:r>
    </w:p>
    <w:p w14:paraId="2DA0D25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是，《节能产品政府采购品目清单》的底级品目名称：__________</w:t>
      </w:r>
    </w:p>
    <w:p w14:paraId="2424420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强制采购         优先采购</w:t>
      </w:r>
    </w:p>
    <w:p w14:paraId="6F34411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1EBE0B2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是否涉及环境标志产品：</w:t>
      </w:r>
    </w:p>
    <w:p w14:paraId="328ABD7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是，《环境标志产品政府采购品目清单》的底级品目名称：__________</w:t>
      </w:r>
    </w:p>
    <w:p w14:paraId="7141EF2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强制采购         优先采购</w:t>
      </w:r>
    </w:p>
    <w:p w14:paraId="2FF4654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55F234E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是否涉及绿色产品：</w:t>
      </w:r>
    </w:p>
    <w:p w14:paraId="2FF02D1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是，绿色产品政府采购相关政策确定的底级品目名称：__________</w:t>
      </w:r>
    </w:p>
    <w:p w14:paraId="642FB7D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强制采购         优先采购</w:t>
      </w:r>
    </w:p>
    <w:p w14:paraId="064E062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77276A6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（11）涉及商品包装和快递包装的，是否参考《商品包装政府采购需求标准（试行）》、《快递包装政府采购需求标准（试行）》明确产品及相关快递服务的具体包装要求：</w:t>
      </w:r>
    </w:p>
    <w:p w14:paraId="1C85237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         否        不涉及</w:t>
      </w:r>
    </w:p>
    <w:p w14:paraId="071C7AB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2.合同金额</w:t>
      </w:r>
    </w:p>
    <w:p w14:paraId="007B349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（1）合同金额小写：____________________大写：____________________</w:t>
      </w:r>
    </w:p>
    <w:p w14:paraId="6B3493A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分包金额（如有）小写：____________________大写：____________________</w:t>
      </w:r>
    </w:p>
    <w:p w14:paraId="4E89E01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（注：固定单价合同应填写单价和最高限价）</w:t>
      </w:r>
    </w:p>
    <w:p w14:paraId="273B3CF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（2）合同定价方式（采用组合定价方式的，可以勾选多项）：</w:t>
      </w:r>
    </w:p>
    <w:p w14:paraId="5B79B3D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固定总价固定单价成本补偿绩效激励其他__________</w:t>
      </w:r>
    </w:p>
    <w:p w14:paraId="63520FB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（3）付款方式（按项目实际勾选填写）：</w:t>
      </w:r>
    </w:p>
    <w:p w14:paraId="56B3071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全额付款：_______（应明确一次性支付合同款项的条件）_____________</w:t>
      </w:r>
    </w:p>
    <w:p w14:paraId="2357F2D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分期付款：_______（应明确分期支付合同款项的各期比例和支付条件，各期支付条件应与分期履约验收情况挂钩）_____________，其中涉及预付款的：_______ （应明确预付款的支付比例和支付条件）</w:t>
      </w:r>
    </w:p>
    <w:p w14:paraId="6092C1D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成本补偿：_______（应明确按照成本补偿方式的支付方式和支付条件）___________</w:t>
      </w:r>
    </w:p>
    <w:p w14:paraId="477C877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绩效激励：_______（应明确按照绩效激励方式的支付方式和支付条件）_________</w:t>
      </w:r>
    </w:p>
    <w:p w14:paraId="5CFA8DB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3.合同履行</w:t>
      </w:r>
    </w:p>
    <w:p w14:paraId="5F2FD3B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（1）起始日期：______年_____月_____日 ，完成日期：_____年____月____日。</w:t>
      </w:r>
    </w:p>
    <w:p w14:paraId="6736A30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（2）履约地点：____________________</w:t>
      </w:r>
    </w:p>
    <w:p w14:paraId="57FA0BF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（3）履约担保：</w:t>
      </w:r>
    </w:p>
    <w:p w14:paraId="74A8349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是否收取履约保证金：是 否</w:t>
      </w:r>
    </w:p>
    <w:p w14:paraId="3046822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收取履约保证金形式：____________________</w:t>
      </w:r>
    </w:p>
    <w:p w14:paraId="48ABAF9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收取履约保证金金额：____________________</w:t>
      </w:r>
    </w:p>
    <w:p w14:paraId="2BEF682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履约担保期限：____________________</w:t>
      </w:r>
    </w:p>
    <w:p w14:paraId="670545D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履约担保期限：____________________</w:t>
      </w:r>
    </w:p>
    <w:p w14:paraId="4DF7029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（4）分期履行要求：____________________</w:t>
      </w:r>
    </w:p>
    <w:p w14:paraId="2F57B6B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（5）风险处置措施和替代方案：____________________</w:t>
      </w:r>
    </w:p>
    <w:p w14:paraId="1D5ED373">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4.合同验收</w:t>
      </w:r>
    </w:p>
    <w:p w14:paraId="0A83624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（1）验收组织方式：自行验收委托第三方验收</w:t>
      </w:r>
    </w:p>
    <w:p w14:paraId="7AD5EC3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验收主体：____________________</w:t>
      </w:r>
    </w:p>
    <w:p w14:paraId="5F74F1D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是否邀请本项目的其他供应商参加验收：是否</w:t>
      </w:r>
    </w:p>
    <w:p w14:paraId="6429B61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是否邀请专家参加验收：是否</w:t>
      </w:r>
    </w:p>
    <w:p w14:paraId="7DC0FC5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是否邀请服务对象参加验收：是否</w:t>
      </w:r>
    </w:p>
    <w:p w14:paraId="580F631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是否邀请第三方检测机构参加验收：是否</w:t>
      </w:r>
    </w:p>
    <w:p w14:paraId="3DE7711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是否进行抽查检测： 是，抽查比例：__________%否</w:t>
      </w:r>
    </w:p>
    <w:p w14:paraId="5BF7743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是否存在破坏性检测： 是，__________否</w:t>
      </w:r>
    </w:p>
    <w:p w14:paraId="3537DAD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验收组织的其他事项：____________________</w:t>
      </w:r>
    </w:p>
    <w:p w14:paraId="592C82A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（2）履约验收时间：计划于何时验收/供应商提出验收申请之日起_______日内组织验收</w:t>
      </w:r>
    </w:p>
    <w:p w14:paraId="6709FFC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（3）履约验收方式：一次性验收分期/分项验收：__________</w:t>
      </w:r>
    </w:p>
    <w:p w14:paraId="7BFFE44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（4）履约验收程序：____________________</w:t>
      </w:r>
    </w:p>
    <w:p w14:paraId="73832A0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（5）履约验收的内容：_________（应当包括每一项技术和商务要求的履约情况，特别是落实政府采购扶持中小企业，支持绿色发展和乡村振兴等政策情况）___________</w:t>
      </w:r>
    </w:p>
    <w:p w14:paraId="3650EFD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（6）履约验收标准：_____________________________</w:t>
      </w:r>
    </w:p>
    <w:p w14:paraId="2148881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（7）是否以采购活动中供应商提供的样品作为参考：是否</w:t>
      </w:r>
    </w:p>
    <w:p w14:paraId="0A55269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（8）履约验收其他事项：_______________</w:t>
      </w:r>
    </w:p>
    <w:p w14:paraId="238927AA">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5.组成合同的文件</w:t>
      </w:r>
    </w:p>
    <w:p w14:paraId="1E02ABA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本协议书与下列文件一起构成合同文件，如下述文件之间有任何抵触、矛盾或歧义，应按以下顺序解释：</w:t>
      </w:r>
    </w:p>
    <w:p w14:paraId="76392F8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（1）政府采购合同协议书及其变更、补充协议</w:t>
      </w:r>
    </w:p>
    <w:p w14:paraId="5605D09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（2）政府采购合同专用条款</w:t>
      </w:r>
    </w:p>
    <w:p w14:paraId="233DE2F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（3）政府采购合同通用条款</w:t>
      </w:r>
    </w:p>
    <w:p w14:paraId="188EAA9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（4）中标（成交）通知书</w:t>
      </w:r>
    </w:p>
    <w:p w14:paraId="5AA396A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（5）投标（响应）文件</w:t>
      </w:r>
    </w:p>
    <w:p w14:paraId="4F82802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（6）采购文件</w:t>
      </w:r>
    </w:p>
    <w:p w14:paraId="4273F4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（7）有关技术文件，图纸</w:t>
      </w:r>
    </w:p>
    <w:p w14:paraId="2C8ACEB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（8）国家法律、行政法规和规章制度规定或合同约定的作为合同组成部分的其他文件</w:t>
      </w:r>
    </w:p>
    <w:p w14:paraId="5AF3A5DC">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6.合同生效</w:t>
      </w:r>
    </w:p>
    <w:p w14:paraId="3E17174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本合同自____________________生效。</w:t>
      </w:r>
    </w:p>
    <w:p w14:paraId="30FB9B47">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7.合同份数</w:t>
      </w:r>
    </w:p>
    <w:p w14:paraId="0C2AA32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本合同一式 _______ 份，甲方执 _______ 份，乙方执 _______ 份，均具有同等法律效力。</w:t>
      </w:r>
    </w:p>
    <w:p w14:paraId="24DCA62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合同订立时间：详见本合同封面的签订时间。</w:t>
      </w:r>
    </w:p>
    <w:p w14:paraId="72FE2E3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合同订立地点： ____________________________</w:t>
      </w:r>
    </w:p>
    <w:p w14:paraId="7FEBBD4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附件：具体标的及其技术要求和商务要求、联合协议、分包意向协议等。</w:t>
      </w:r>
    </w:p>
    <w:p w14:paraId="2D152B0B">
      <w:pPr>
        <w:spacing w:line="360" w:lineRule="auto"/>
        <w:ind w:firstLine="480" w:firstLineChars="200"/>
        <w:jc w:val="left"/>
        <w:rPr>
          <w:rFonts w:ascii="宋体" w:hAnsi="宋体" w:eastAsia="宋体" w:cs="Times New Roman"/>
          <w:color w:val="auto"/>
          <w:kern w:val="0"/>
          <w:sz w:val="24"/>
          <w:szCs w:val="24"/>
          <w:highlight w:val="none"/>
        </w:rPr>
      </w:pPr>
    </w:p>
    <w:p w14:paraId="1FF26B5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甲方（采购人、受采购人委托签订合同的单位或采购文件约定的合同甲方）</w:t>
      </w:r>
    </w:p>
    <w:p w14:paraId="621307D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单位名称（公章或合同章）： {{未填写}}（盖章）</w:t>
      </w:r>
    </w:p>
    <w:p w14:paraId="7BFE7B1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法定代表人或其委托代理人（签章）：{{未填写}}</w:t>
      </w:r>
    </w:p>
    <w:p w14:paraId="2378CE5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住 所：{{未填写}}</w:t>
      </w:r>
    </w:p>
    <w:p w14:paraId="67CCB05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联 系 人：{{未填写}}</w:t>
      </w:r>
    </w:p>
    <w:p w14:paraId="62462B6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联系电话：{{未填写}}</w:t>
      </w:r>
    </w:p>
    <w:p w14:paraId="273697C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通信地址：{{未填写}}</w:t>
      </w:r>
    </w:p>
    <w:p w14:paraId="617E142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邮政编码：{{未填写}}</w:t>
      </w:r>
    </w:p>
    <w:p w14:paraId="760A104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电子邮箱：{{未填写}}</w:t>
      </w:r>
    </w:p>
    <w:p w14:paraId="48013F8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统一社会信用代码：{{未填写}}</w:t>
      </w:r>
    </w:p>
    <w:p w14:paraId="67756950">
      <w:pPr>
        <w:ind w:firstLine="480"/>
        <w:jc w:val="left"/>
        <w:rPr>
          <w:rFonts w:ascii="Calibri" w:hAnsi="Calibri" w:eastAsia="宋体" w:cs="Times New Roman"/>
          <w:color w:val="auto"/>
          <w:kern w:val="0"/>
          <w:sz w:val="20"/>
          <w:szCs w:val="20"/>
          <w:highlight w:val="none"/>
        </w:rPr>
      </w:pPr>
      <w:r>
        <w:rPr>
          <w:rFonts w:ascii="Calibri" w:hAnsi="Calibri" w:eastAsia="宋体" w:cs="Times New Roman"/>
          <w:color w:val="auto"/>
          <w:kern w:val="0"/>
          <w:sz w:val="20"/>
          <w:szCs w:val="20"/>
          <w:highlight w:val="none"/>
        </w:rPr>
        <w:t xml:space="preserve"> </w:t>
      </w:r>
    </w:p>
    <w:p w14:paraId="28ACB7DE">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第二节 政府采购合同通用条款</w:t>
      </w:r>
    </w:p>
    <w:p w14:paraId="149A6593">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 定义</w:t>
      </w:r>
    </w:p>
    <w:p w14:paraId="6F5D35D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1.1合同当事人</w:t>
      </w:r>
    </w:p>
    <w:p w14:paraId="08384E5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（1）采购人（以下称甲方）是指使用财政性资金，通过政府采购方式向供应商购买货物及其相关服务的国家机关、事业单位、团体组织。</w:t>
      </w:r>
    </w:p>
    <w:p w14:paraId="35A8359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（2）供应商（以下称乙方）是指参加政府采购活动并且中标（成交），向采购人提供合同约定的货物及其相关服务的法人、非法人组织或者自然人。</w:t>
      </w:r>
    </w:p>
    <w:p w14:paraId="3CC9E93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（3）其他合同主体是指除采购人和供应商以外，依法参与合同缔结或履行，享有权利、承担义务的合同当事人。</w:t>
      </w:r>
    </w:p>
    <w:p w14:paraId="29CBCF6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1.2本合同下列术语应解释为：</w:t>
      </w:r>
    </w:p>
    <w:p w14:paraId="3DF0198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5092C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（2）“合同价款”系指根据本合同规定乙方在全面履行合同义务后甲方应支付给乙方的价款。</w:t>
      </w:r>
    </w:p>
    <w:p w14:paraId="705BA25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（3）“货物”系指乙方根据本合同规定须向甲方提供的各种形态和种类的物品，包括原材料、设备、产品（包括软件）及相关的其备品备件、工具、手册及其他技术资料和材料等。</w:t>
      </w:r>
    </w:p>
    <w:p w14:paraId="6AC9264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B4E083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41413A1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w:t>
      </w:r>
    </w:p>
    <w:p w14:paraId="6679B00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（7）其他术语解释，见</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w:t>
      </w:r>
    </w:p>
    <w:p w14:paraId="65073A4C">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2.合同标的及金额</w:t>
      </w:r>
    </w:p>
    <w:p w14:paraId="202E3CC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 合同标的及金额应与中标（成交）结果一致。乙方为履行本合同而发生的所有费用均应包含在合同价款中，甲方不再另行支付其他任何费用。</w:t>
      </w:r>
    </w:p>
    <w:p w14:paraId="54BDC44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3. 履行合同的时间、地点和方式</w:t>
      </w:r>
    </w:p>
    <w:p w14:paraId="38EAD28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3.1 乙方应当在约定的时间、地点，按照约定方式履行合同。</w:t>
      </w:r>
    </w:p>
    <w:p w14:paraId="107A0C8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4. 甲方的权利和义务</w:t>
      </w:r>
    </w:p>
    <w:p w14:paraId="3B50F35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9F101F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519C6D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4.3 甲方有权要求乙方对缺陷部分予以修复，并按合同约定享有货物保修及其他合同约定的权利。</w:t>
      </w:r>
    </w:p>
    <w:p w14:paraId="4FE350D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4.4 甲方应当按照合同约定及时对交付的货物进行验收，未在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约定的期限内对乙方履约提出任何异议或者向乙方作出任何说明的，视为验收通过。</w:t>
      </w:r>
    </w:p>
    <w:p w14:paraId="2F4DD7E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4.5 甲方应当根据合同约定及时向乙方支付合同价款，不得以内部人员变更、履行内部付款流程等为由，拒绝或迟延支付。</w:t>
      </w:r>
    </w:p>
    <w:p w14:paraId="04BE313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4.6 国家法律法规规定及</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约定应由甲方承担的其他义务和责任。</w:t>
      </w:r>
    </w:p>
    <w:p w14:paraId="39BBCB6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5. 乙方的权利和义务</w:t>
      </w:r>
    </w:p>
    <w:p w14:paraId="7915F13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5.1 签署合同后，乙方应确定项目负责人（或项目联系人），负责与本合同有关的事务。</w:t>
      </w:r>
    </w:p>
    <w:p w14:paraId="0907F30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26D8FD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5.3乙方有权根据合同约定向甲方收取合同价款。</w:t>
      </w:r>
    </w:p>
    <w:p w14:paraId="6551BF1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5.4国家法律法规规定及</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约定应由乙方承担的其他义务和责任。</w:t>
      </w:r>
    </w:p>
    <w:p w14:paraId="3479903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6.合同履行</w:t>
      </w:r>
    </w:p>
    <w:p w14:paraId="553BEAF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6.1 甲乙双方应当按照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约定顺序履行合同义务；如果没有先后顺序的，应当同时履行。</w:t>
      </w:r>
    </w:p>
    <w:p w14:paraId="1DE3526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1DD5EB9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7. 货物包装、运输、保险和交付要求</w:t>
      </w:r>
    </w:p>
    <w:p w14:paraId="5C3E98E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7.1 本合同涉及商品包装、快递包装的，除</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另有约定外，包装应适应远距离运输、防潮、防震、防锈和防野蛮装卸等要求，确保货物安全无损地运抵</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约定的指定现场。</w:t>
      </w:r>
    </w:p>
    <w:p w14:paraId="4DB98A2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7.2 除</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另有约定外，乙方负责办理将货物运抵本合同规定的交货地点，并装卸、交付至甲方的一切运输事项，相关费用应包含在合同价款中。</w:t>
      </w:r>
    </w:p>
    <w:p w14:paraId="08ACCA1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7.3 货物保险要求按</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规定执行。</w:t>
      </w:r>
    </w:p>
    <w:p w14:paraId="0E6A77F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023D8C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7.5 乙方在运输到达之前应提前通知甲方，并提示货物运输装卸的注意事项，甲方配合乙方做好货物的接收工作。</w:t>
      </w:r>
    </w:p>
    <w:p w14:paraId="40424D6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7.6 如因包装、运输问题导致货物损毁、丢失或者品质下降，甲方有权要求降价、换货、拒收部分或整批货物，由此产生的费用和损失，均由乙方承担。</w:t>
      </w:r>
    </w:p>
    <w:p w14:paraId="7FA7F6D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8. 质量标准和保证</w:t>
      </w:r>
    </w:p>
    <w:p w14:paraId="514BB50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8.1 质量标准</w:t>
      </w:r>
    </w:p>
    <w:p w14:paraId="774928C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E7AD87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（2）采用中华人民共和国法定计量单位。</w:t>
      </w:r>
    </w:p>
    <w:p w14:paraId="7D03107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（3）乙方所提供的货物应符合国家有关安全、环保、卫生的规定。</w:t>
      </w:r>
    </w:p>
    <w:p w14:paraId="04A59F2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4E91DB2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8.2 保证</w:t>
      </w:r>
    </w:p>
    <w:p w14:paraId="2DE6851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79E3B2D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（2）在质量保证期内所发现的缺陷，甲方应尽快以书面形式通知乙方。</w:t>
      </w:r>
    </w:p>
    <w:p w14:paraId="512131D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（3）乙方收到通知后，应在【政府采购合同专用条款】规定的响应时间内以合理的速度免费维修或更换有缺陷的货物或部件。</w:t>
      </w:r>
    </w:p>
    <w:p w14:paraId="1C520CE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B0786C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（5）乙方在约定的时间内未能弥补缺陷，甲方可采取必要的补救措施，但其风险和费用将由乙方承担，甲方根据合同约定对乙方行使的其他权利不受影响。</w:t>
      </w:r>
    </w:p>
    <w:p w14:paraId="79EC0C4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9. 权利瑕疵担保</w:t>
      </w:r>
    </w:p>
    <w:p w14:paraId="3A0077C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9.1 乙方保证对其出售的货物享有合法的权利。</w:t>
      </w:r>
    </w:p>
    <w:p w14:paraId="49689BA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9.2 乙方保证在交付的货物上不存在抵押权等担保物权。</w:t>
      </w:r>
    </w:p>
    <w:p w14:paraId="2856BF5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9.3 如甲方使用上述货物构成对第三人侵权的，则由乙方承担全部责任。</w:t>
      </w:r>
    </w:p>
    <w:p w14:paraId="2C33539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10. 知识产权保护</w:t>
      </w:r>
    </w:p>
    <w:p w14:paraId="63F63E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16C8DF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11. 保密义务</w:t>
      </w:r>
    </w:p>
    <w:p w14:paraId="6940479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中约定。</w:t>
      </w:r>
    </w:p>
    <w:p w14:paraId="21BC277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12. 合同价款支付</w:t>
      </w:r>
    </w:p>
    <w:p w14:paraId="680F60C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12.1 合同价款支付按照国库集中支付制度及财政管理相关规定执行。</w:t>
      </w:r>
    </w:p>
    <w:p w14:paraId="294B14D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中约定。</w:t>
      </w:r>
    </w:p>
    <w:p w14:paraId="47A6BD22">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13. 履约保证金</w:t>
      </w:r>
    </w:p>
    <w:p w14:paraId="4A5AE4A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13.1 乙方应当以支票、汇票、本票或者金融机构、担保机构出具的保函等非现金形式提交。</w:t>
      </w:r>
    </w:p>
    <w:p w14:paraId="2DF3D31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13.2 如果乙方出现</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03DEC38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13.3 甲方在项目通过验收后按照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规定的时间内将履约保证金退还乙方；逾期退还的，乙方可要求甲方支付违约金，违约金按照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规定支付。</w:t>
      </w:r>
    </w:p>
    <w:p w14:paraId="45FF7173">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14. 售后服务</w:t>
      </w:r>
    </w:p>
    <w:p w14:paraId="258A706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14.1 除项目不涉及或采购活动中明确约定无须承担外，乙方还应提供下列服务：</w:t>
      </w:r>
    </w:p>
    <w:p w14:paraId="5383C22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（1）货物的现场移动、安装、调试、启动监督及技术支持；</w:t>
      </w:r>
    </w:p>
    <w:p w14:paraId="6EDDDF3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（2）提供货物组装和维修所需的专用工具和辅助材料；</w:t>
      </w:r>
    </w:p>
    <w:p w14:paraId="4F9A1E9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约定的期限内对所有的货物实施运行监督、维修，但前提条件是该服务并不能免除乙方在质量保证期内所承担的义务；</w:t>
      </w:r>
    </w:p>
    <w:p w14:paraId="3AE5322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（4）在制造商所在地或指定现场就货物的安装、启动、运营、维护、废弃处置等对甲方操作人员进行培训；</w:t>
      </w:r>
    </w:p>
    <w:p w14:paraId="46FB391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（5）依照法律、行政法规的规定或者按照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约定，货物在有效使用年限届满后应予回收的，乙方负有自行或者委托第三人对货物予以回收的义务；</w:t>
      </w:r>
    </w:p>
    <w:p w14:paraId="02A1D74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规定由乙方提供的其他服务。</w:t>
      </w:r>
    </w:p>
    <w:p w14:paraId="0C0E458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14.2 乙方提供的售后服务的费用已包含在合同价款中，甲方不再另行支付。</w:t>
      </w:r>
    </w:p>
    <w:p w14:paraId="3AEA86B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15. 违约责任</w:t>
      </w:r>
    </w:p>
    <w:p w14:paraId="418E5E7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15.1质量瑕疵的违约责任</w:t>
      </w:r>
    </w:p>
    <w:p w14:paraId="03B713E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乙方提供的产品不符合合同约定的质量标准或存在产品质量缺陷，甲方有权要求乙方根据</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要求及时修理、重作、更换，并承担由此给甲方造成的损失。</w:t>
      </w:r>
    </w:p>
    <w:p w14:paraId="3CF2FEF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15.2 迟延交货的违约责任</w:t>
      </w:r>
    </w:p>
    <w:p w14:paraId="7A4B4C9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492560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（2）如果乙方没有按照合同规定的时间交货和提供相关服务，甲方有权从货款中扣除误期赔偿费而不影响合同项下的其他补救方法，赔偿费按</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规定执行。如果涉及公共利益，且赔偿金额无法弥补公共利益损失，甲方可要求继续履行或者采取其他补救措施。</w:t>
      </w:r>
    </w:p>
    <w:p w14:paraId="40F1EF3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15.3 迟延支付的违约责任</w:t>
      </w:r>
    </w:p>
    <w:p w14:paraId="5C2EBE6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甲方存在迟延支付乙方合同款项的，应当承担</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规定的逾期付款利息。</w:t>
      </w:r>
    </w:p>
    <w:p w14:paraId="4891088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15.4其他违约责任根据项目实际需要按</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规定执行。</w:t>
      </w:r>
    </w:p>
    <w:p w14:paraId="12BF8A5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16.合同变更、中止与终止</w:t>
      </w:r>
    </w:p>
    <w:p w14:paraId="7AB217A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16.1合同的变更</w:t>
      </w:r>
    </w:p>
    <w:p w14:paraId="5786810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政府采购合同履行中，在不改变合同其他条款的前提下，甲方可以在合同价款10%的范围内追加与合同标的相同的货物，并就此与乙方协商一致后签订补充协议。</w:t>
      </w:r>
    </w:p>
    <w:p w14:paraId="26F3BB8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16.2合同的中止</w:t>
      </w:r>
    </w:p>
    <w:p w14:paraId="2017A76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（1）合同履行过程中因供应商就采购文件、采购过程或结果提起投诉的，甲方认为有必要的，可以中止合同的履行。</w:t>
      </w:r>
    </w:p>
    <w:p w14:paraId="3349168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2B383B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0D36851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（4）甲方不得以行政区划调整、政府换届、机构或者职能调整以及相关责任人更替为由中止合同。</w:t>
      </w:r>
    </w:p>
    <w:p w14:paraId="42A31A7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16.3合同的终止</w:t>
      </w:r>
    </w:p>
    <w:p w14:paraId="18F9452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（1）合同因有效期限届满而终止；</w:t>
      </w:r>
    </w:p>
    <w:p w14:paraId="5E4F2C7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（2）乙方未按合同约定履行，构成根本性违约的，甲方有权终止合同，并追究乙方的违约责任。</w:t>
      </w:r>
    </w:p>
    <w:p w14:paraId="02230DC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16.4 涉及国家利益、社会公共利益的情形</w:t>
      </w:r>
    </w:p>
    <w:p w14:paraId="42372C3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4F4F0FA9">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17. 合同分包</w:t>
      </w:r>
    </w:p>
    <w:p w14:paraId="4C7D406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17.1 乙方不得将合同转包给其他供应商。涉及合同分包的，乙方应根据采购文件和投标（响应）文件规定进行合同分包。</w:t>
      </w:r>
    </w:p>
    <w:p w14:paraId="3B4B784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17.2 乙方执行政府采购政策向中小企业依法分包的，乙方应当按采购文件和投标（响应）文件签订分包意向协议，分包意向协议属于本合同组成部分。</w:t>
      </w:r>
    </w:p>
    <w:p w14:paraId="7A3411B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18. 不可抗力</w:t>
      </w:r>
    </w:p>
    <w:p w14:paraId="69CF747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18.1 不可抗力是指合同双方不能预见、不能避免且不能克服的客观情况。</w:t>
      </w:r>
    </w:p>
    <w:p w14:paraId="273A825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18.2 任何一方对由于不可抗力造成的部分或全部不能履行合同不承担违约责任。但迟延履行后发生不可抗力的，不能免除责任。</w:t>
      </w:r>
    </w:p>
    <w:p w14:paraId="52A28CD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147B7D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19. 解决争议的方法</w:t>
      </w:r>
    </w:p>
    <w:p w14:paraId="5A22742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8ED53A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19.2 选择仲裁的，应在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中明确仲裁机构及仲裁地；通过诉讼方式解决的，可以在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中进一步约定选择与争议有实际联系的地点的人民法院管辖，但管辖法院的约定不得违反级别管辖和专属管辖的规定。</w:t>
      </w:r>
    </w:p>
    <w:p w14:paraId="2629672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19.3 如甲乙双方有争议的事项不影响合同其他部分的履行，在争议解决期间，合同其他部分应当继续履行。</w:t>
      </w:r>
    </w:p>
    <w:p w14:paraId="32E26EE9">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20. 政府采购政策</w:t>
      </w:r>
    </w:p>
    <w:p w14:paraId="76910CE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20.1 本合同应当按照规定执行政府采购政策。</w:t>
      </w:r>
    </w:p>
    <w:p w14:paraId="1029F6C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1054DF6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292E5B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21. 法律适用</w:t>
      </w:r>
    </w:p>
    <w:p w14:paraId="54B36CB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21.1 本合同的订立、生效、解释、履行及与本合同有关的争议解决，均适用法律、行政法规。</w:t>
      </w:r>
    </w:p>
    <w:p w14:paraId="56225B2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21.2 本合同条款与法律、行政法规的强制性规定不一致的，双方当事人应按照法律、行政法规的强制性规定修改本合同的相关条款。</w:t>
      </w:r>
    </w:p>
    <w:p w14:paraId="7B5221AC">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22. 通知</w:t>
      </w:r>
    </w:p>
    <w:p w14:paraId="03381D0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22.1 本合同任何一方向对方发出的通知、信件、数据电文等，应当发送至本合同第一部分《政府采购合同协议书》所约定的通讯地址、联系人、联系电话或电子邮箱。</w:t>
      </w:r>
    </w:p>
    <w:p w14:paraId="7EF338E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58DCD3E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22.3本合同一方给另一方的通知均应采用书面形式，传真或快递送到本合同中规定的对方的地址和办理签收手续。</w:t>
      </w:r>
    </w:p>
    <w:p w14:paraId="48473FB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22.4通知以送达之日或通知书中规定的生效之日起生效，两者中以较迟之日为准。</w:t>
      </w:r>
    </w:p>
    <w:p w14:paraId="6BE66FB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23.合同未尽事项</w:t>
      </w:r>
    </w:p>
    <w:p w14:paraId="53C3FED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23.1合同未尽事项见</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w:t>
      </w:r>
    </w:p>
    <w:p w14:paraId="2527E57A">
      <w:pPr>
        <w:spacing w:line="360" w:lineRule="auto"/>
        <w:ind w:firstLine="480" w:firstLineChars="200"/>
        <w:jc w:val="left"/>
        <w:rPr>
          <w:rFonts w:ascii="Calibri" w:hAnsi="Calibri" w:eastAsia="宋体" w:cs="Times New Roman"/>
          <w:color w:val="auto"/>
          <w:kern w:val="0"/>
          <w:sz w:val="20"/>
          <w:szCs w:val="20"/>
          <w:highlight w:val="none"/>
        </w:rPr>
      </w:pPr>
      <w:r>
        <w:rPr>
          <w:rFonts w:ascii="宋体" w:hAnsi="宋体" w:eastAsia="宋体" w:cs="Times New Roman"/>
          <w:color w:val="auto"/>
          <w:kern w:val="0"/>
          <w:sz w:val="24"/>
          <w:szCs w:val="24"/>
          <w:highlight w:val="none"/>
        </w:rPr>
        <w:t>23.2 合同附件与合同正文具有同等的法律效力。</w:t>
      </w:r>
    </w:p>
    <w:p w14:paraId="0D00A527">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第三节</w:t>
      </w:r>
      <w:r>
        <w:rPr>
          <w:rFonts w:hint="eastAsia" w:ascii="Times New Roman" w:hAnsi="Times New Roman" w:eastAsia="宋体" w:cs="Times New Roman"/>
          <w:b/>
          <w:color w:val="auto"/>
          <w:sz w:val="32"/>
          <w:szCs w:val="32"/>
          <w:highlight w:val="none"/>
        </w:rPr>
        <w:t xml:space="preserve">  </w:t>
      </w:r>
      <w:r>
        <w:rPr>
          <w:rFonts w:ascii="Times New Roman" w:hAnsi="Times New Roman" w:eastAsia="宋体" w:cs="Times New Roman"/>
          <w:b/>
          <w:color w:val="auto"/>
          <w:sz w:val="32"/>
          <w:szCs w:val="32"/>
          <w:highlight w:val="none"/>
        </w:rPr>
        <w:t>政府采购合同专用条款</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3295"/>
      </w:tblGrid>
      <w:tr w14:paraId="64C3E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BE1644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第1.2（6）项</w:t>
            </w:r>
          </w:p>
        </w:tc>
        <w:tc>
          <w:tcPr>
            <w:tcW w:w="2769" w:type="dxa"/>
            <w:vAlign w:val="center"/>
          </w:tcPr>
          <w:p w14:paraId="069D52B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联合体具体要求</w:t>
            </w:r>
          </w:p>
        </w:tc>
        <w:tc>
          <w:tcPr>
            <w:tcW w:w="3295" w:type="dxa"/>
            <w:vAlign w:val="center"/>
          </w:tcPr>
          <w:p w14:paraId="3DE0D91F">
            <w:pPr>
              <w:spacing w:line="360" w:lineRule="auto"/>
              <w:rPr>
                <w:rFonts w:ascii="宋体" w:hAnsi="宋体" w:eastAsia="宋体" w:cs="Times New Roman"/>
                <w:color w:val="auto"/>
                <w:kern w:val="0"/>
                <w:sz w:val="24"/>
                <w:szCs w:val="24"/>
                <w:highlight w:val="none"/>
              </w:rPr>
            </w:pPr>
          </w:p>
        </w:tc>
      </w:tr>
      <w:tr w14:paraId="4D74A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D19965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第1.2（7）项</w:t>
            </w:r>
          </w:p>
        </w:tc>
        <w:tc>
          <w:tcPr>
            <w:tcW w:w="2769" w:type="dxa"/>
            <w:vAlign w:val="center"/>
          </w:tcPr>
          <w:p w14:paraId="7FF1214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其他术语解释</w:t>
            </w:r>
          </w:p>
        </w:tc>
        <w:tc>
          <w:tcPr>
            <w:tcW w:w="3295" w:type="dxa"/>
            <w:vAlign w:val="center"/>
          </w:tcPr>
          <w:p w14:paraId="17811F1E">
            <w:pPr>
              <w:spacing w:line="360" w:lineRule="auto"/>
              <w:rPr>
                <w:rFonts w:ascii="宋体" w:hAnsi="宋体" w:eastAsia="宋体" w:cs="Times New Roman"/>
                <w:color w:val="auto"/>
                <w:kern w:val="0"/>
                <w:sz w:val="24"/>
                <w:szCs w:val="24"/>
                <w:highlight w:val="none"/>
              </w:rPr>
            </w:pPr>
          </w:p>
        </w:tc>
      </w:tr>
      <w:tr w14:paraId="5A16D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CE0F483">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第4.4款</w:t>
            </w:r>
          </w:p>
        </w:tc>
        <w:tc>
          <w:tcPr>
            <w:tcW w:w="2769" w:type="dxa"/>
            <w:vAlign w:val="center"/>
          </w:tcPr>
          <w:p w14:paraId="065EEB1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履约验收中甲方提出异议或作出说明的期限</w:t>
            </w:r>
          </w:p>
        </w:tc>
        <w:tc>
          <w:tcPr>
            <w:tcW w:w="3295" w:type="dxa"/>
            <w:vAlign w:val="center"/>
          </w:tcPr>
          <w:p w14:paraId="744F85D1">
            <w:pPr>
              <w:spacing w:line="360" w:lineRule="auto"/>
              <w:rPr>
                <w:rFonts w:ascii="宋体" w:hAnsi="宋体" w:eastAsia="宋体" w:cs="Times New Roman"/>
                <w:color w:val="auto"/>
                <w:kern w:val="0"/>
                <w:sz w:val="24"/>
                <w:szCs w:val="24"/>
                <w:highlight w:val="none"/>
              </w:rPr>
            </w:pPr>
          </w:p>
        </w:tc>
      </w:tr>
      <w:tr w14:paraId="12ED9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41F4A1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第4.6款</w:t>
            </w:r>
          </w:p>
        </w:tc>
        <w:tc>
          <w:tcPr>
            <w:tcW w:w="2769" w:type="dxa"/>
            <w:vAlign w:val="center"/>
          </w:tcPr>
          <w:p w14:paraId="6BBC235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约定甲方承担的其他义务和责任</w:t>
            </w:r>
          </w:p>
        </w:tc>
        <w:tc>
          <w:tcPr>
            <w:tcW w:w="3295" w:type="dxa"/>
            <w:vAlign w:val="center"/>
          </w:tcPr>
          <w:p w14:paraId="3FCA1158">
            <w:pPr>
              <w:spacing w:line="360" w:lineRule="auto"/>
              <w:rPr>
                <w:rFonts w:ascii="宋体" w:hAnsi="宋体" w:eastAsia="宋体" w:cs="Times New Roman"/>
                <w:color w:val="auto"/>
                <w:kern w:val="0"/>
                <w:sz w:val="24"/>
                <w:szCs w:val="24"/>
                <w:highlight w:val="none"/>
              </w:rPr>
            </w:pPr>
          </w:p>
        </w:tc>
      </w:tr>
      <w:tr w14:paraId="59002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2773BF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第5.4款</w:t>
            </w:r>
          </w:p>
        </w:tc>
        <w:tc>
          <w:tcPr>
            <w:tcW w:w="2769" w:type="dxa"/>
            <w:vAlign w:val="center"/>
          </w:tcPr>
          <w:p w14:paraId="1802114C">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约定乙方承担的其他义务和责任</w:t>
            </w:r>
          </w:p>
        </w:tc>
        <w:tc>
          <w:tcPr>
            <w:tcW w:w="3295" w:type="dxa"/>
            <w:vAlign w:val="center"/>
          </w:tcPr>
          <w:p w14:paraId="66AA9741">
            <w:pPr>
              <w:spacing w:line="360" w:lineRule="auto"/>
              <w:rPr>
                <w:rFonts w:ascii="宋体" w:hAnsi="宋体" w:eastAsia="宋体" w:cs="Times New Roman"/>
                <w:color w:val="auto"/>
                <w:kern w:val="0"/>
                <w:sz w:val="24"/>
                <w:szCs w:val="24"/>
                <w:highlight w:val="none"/>
              </w:rPr>
            </w:pPr>
          </w:p>
        </w:tc>
      </w:tr>
      <w:tr w14:paraId="247C6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0F4DCC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第6.1款</w:t>
            </w:r>
          </w:p>
        </w:tc>
        <w:tc>
          <w:tcPr>
            <w:tcW w:w="2769" w:type="dxa"/>
            <w:vAlign w:val="center"/>
          </w:tcPr>
          <w:p w14:paraId="33EFE58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履行合同义务的顺序</w:t>
            </w:r>
          </w:p>
        </w:tc>
        <w:tc>
          <w:tcPr>
            <w:tcW w:w="3295" w:type="dxa"/>
            <w:vAlign w:val="center"/>
          </w:tcPr>
          <w:p w14:paraId="139E8887">
            <w:pPr>
              <w:spacing w:line="360" w:lineRule="auto"/>
              <w:rPr>
                <w:rFonts w:ascii="宋体" w:hAnsi="宋体" w:eastAsia="宋体" w:cs="Times New Roman"/>
                <w:color w:val="auto"/>
                <w:kern w:val="0"/>
                <w:sz w:val="24"/>
                <w:szCs w:val="24"/>
                <w:highlight w:val="none"/>
              </w:rPr>
            </w:pPr>
          </w:p>
        </w:tc>
      </w:tr>
      <w:tr w14:paraId="3CA5F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restart"/>
            <w:vAlign w:val="center"/>
          </w:tcPr>
          <w:p w14:paraId="4F42BA0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第7.1款</w:t>
            </w:r>
          </w:p>
        </w:tc>
        <w:tc>
          <w:tcPr>
            <w:tcW w:w="2769" w:type="dxa"/>
            <w:vAlign w:val="center"/>
          </w:tcPr>
          <w:p w14:paraId="4ACC030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包装特殊要求</w:t>
            </w:r>
          </w:p>
        </w:tc>
        <w:tc>
          <w:tcPr>
            <w:tcW w:w="3295" w:type="dxa"/>
            <w:vAlign w:val="center"/>
          </w:tcPr>
          <w:p w14:paraId="377B7827">
            <w:pPr>
              <w:spacing w:line="360" w:lineRule="auto"/>
              <w:rPr>
                <w:rFonts w:ascii="宋体" w:hAnsi="宋体" w:eastAsia="宋体" w:cs="Times New Roman"/>
                <w:color w:val="auto"/>
                <w:kern w:val="0"/>
                <w:sz w:val="24"/>
                <w:szCs w:val="24"/>
                <w:highlight w:val="none"/>
              </w:rPr>
            </w:pPr>
          </w:p>
        </w:tc>
      </w:tr>
      <w:tr w14:paraId="079FB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continue"/>
            <w:vAlign w:val="center"/>
          </w:tcPr>
          <w:p w14:paraId="1644708C">
            <w:pPr>
              <w:spacing w:line="360" w:lineRule="auto"/>
              <w:rPr>
                <w:rFonts w:ascii="宋体" w:hAnsi="宋体" w:eastAsia="宋体" w:cs="Times New Roman"/>
                <w:color w:val="auto"/>
                <w:sz w:val="24"/>
                <w:szCs w:val="24"/>
                <w:highlight w:val="none"/>
              </w:rPr>
            </w:pPr>
          </w:p>
        </w:tc>
        <w:tc>
          <w:tcPr>
            <w:tcW w:w="2769" w:type="dxa"/>
            <w:vAlign w:val="center"/>
          </w:tcPr>
          <w:p w14:paraId="5241826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指定现场</w:t>
            </w:r>
          </w:p>
        </w:tc>
        <w:tc>
          <w:tcPr>
            <w:tcW w:w="3295" w:type="dxa"/>
            <w:vAlign w:val="center"/>
          </w:tcPr>
          <w:p w14:paraId="3EDBE794">
            <w:pPr>
              <w:spacing w:line="360" w:lineRule="auto"/>
              <w:rPr>
                <w:rFonts w:ascii="宋体" w:hAnsi="宋体" w:eastAsia="宋体" w:cs="Times New Roman"/>
                <w:color w:val="auto"/>
                <w:kern w:val="0"/>
                <w:sz w:val="24"/>
                <w:szCs w:val="24"/>
                <w:highlight w:val="none"/>
              </w:rPr>
            </w:pPr>
          </w:p>
        </w:tc>
      </w:tr>
      <w:tr w14:paraId="7B7ED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4BEDF2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第7.2款</w:t>
            </w:r>
          </w:p>
        </w:tc>
        <w:tc>
          <w:tcPr>
            <w:tcW w:w="2769" w:type="dxa"/>
            <w:vAlign w:val="center"/>
          </w:tcPr>
          <w:p w14:paraId="033E10F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运输特殊要求</w:t>
            </w:r>
          </w:p>
        </w:tc>
        <w:tc>
          <w:tcPr>
            <w:tcW w:w="3295" w:type="dxa"/>
            <w:vAlign w:val="center"/>
          </w:tcPr>
          <w:p w14:paraId="0BFD32BA">
            <w:pPr>
              <w:spacing w:line="360" w:lineRule="auto"/>
              <w:rPr>
                <w:rFonts w:ascii="宋体" w:hAnsi="宋体" w:eastAsia="宋体" w:cs="Times New Roman"/>
                <w:color w:val="auto"/>
                <w:kern w:val="0"/>
                <w:sz w:val="24"/>
                <w:szCs w:val="24"/>
                <w:highlight w:val="none"/>
              </w:rPr>
            </w:pPr>
          </w:p>
        </w:tc>
      </w:tr>
      <w:tr w14:paraId="7FA3D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E58931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第7.3款</w:t>
            </w:r>
          </w:p>
        </w:tc>
        <w:tc>
          <w:tcPr>
            <w:tcW w:w="2769" w:type="dxa"/>
            <w:vAlign w:val="center"/>
          </w:tcPr>
          <w:p w14:paraId="35938F5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保险要求</w:t>
            </w:r>
          </w:p>
        </w:tc>
        <w:tc>
          <w:tcPr>
            <w:tcW w:w="3295" w:type="dxa"/>
            <w:vAlign w:val="center"/>
          </w:tcPr>
          <w:p w14:paraId="6C5D4C5B">
            <w:pPr>
              <w:spacing w:line="360" w:lineRule="auto"/>
              <w:rPr>
                <w:rFonts w:ascii="宋体" w:hAnsi="宋体" w:eastAsia="宋体" w:cs="Times New Roman"/>
                <w:color w:val="auto"/>
                <w:kern w:val="0"/>
                <w:sz w:val="24"/>
                <w:szCs w:val="24"/>
                <w:highlight w:val="none"/>
              </w:rPr>
            </w:pPr>
          </w:p>
        </w:tc>
      </w:tr>
      <w:tr w14:paraId="1D0C1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62D5E8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第8.2（1）项</w:t>
            </w:r>
          </w:p>
        </w:tc>
        <w:tc>
          <w:tcPr>
            <w:tcW w:w="2769" w:type="dxa"/>
            <w:vAlign w:val="center"/>
          </w:tcPr>
          <w:p w14:paraId="72FB675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质量保证期</w:t>
            </w:r>
          </w:p>
        </w:tc>
        <w:tc>
          <w:tcPr>
            <w:tcW w:w="3295" w:type="dxa"/>
            <w:vAlign w:val="center"/>
          </w:tcPr>
          <w:p w14:paraId="27D26D38">
            <w:pPr>
              <w:spacing w:line="360" w:lineRule="auto"/>
              <w:rPr>
                <w:rFonts w:ascii="宋体" w:hAnsi="宋体" w:eastAsia="宋体" w:cs="Times New Roman"/>
                <w:color w:val="auto"/>
                <w:sz w:val="24"/>
                <w:szCs w:val="24"/>
                <w:highlight w:val="none"/>
              </w:rPr>
            </w:pPr>
          </w:p>
        </w:tc>
      </w:tr>
      <w:tr w14:paraId="2104B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DDF8A3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第8.2（3）项</w:t>
            </w:r>
          </w:p>
        </w:tc>
        <w:tc>
          <w:tcPr>
            <w:tcW w:w="2769" w:type="dxa"/>
            <w:vAlign w:val="center"/>
          </w:tcPr>
          <w:p w14:paraId="1FAF058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货物质量缺陷响应时间</w:t>
            </w:r>
          </w:p>
        </w:tc>
        <w:tc>
          <w:tcPr>
            <w:tcW w:w="3295" w:type="dxa"/>
            <w:vAlign w:val="center"/>
          </w:tcPr>
          <w:p w14:paraId="099B72B1">
            <w:pPr>
              <w:spacing w:line="360" w:lineRule="auto"/>
              <w:rPr>
                <w:rFonts w:ascii="宋体" w:hAnsi="宋体" w:eastAsia="宋体" w:cs="Times New Roman"/>
                <w:color w:val="auto"/>
                <w:sz w:val="24"/>
                <w:szCs w:val="24"/>
                <w:highlight w:val="none"/>
              </w:rPr>
            </w:pPr>
          </w:p>
        </w:tc>
      </w:tr>
      <w:tr w14:paraId="1DA99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CC9D17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第11.1款</w:t>
            </w:r>
          </w:p>
        </w:tc>
        <w:tc>
          <w:tcPr>
            <w:tcW w:w="2769" w:type="dxa"/>
            <w:vAlign w:val="center"/>
          </w:tcPr>
          <w:p w14:paraId="3609D1C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其他应当保密的信息</w:t>
            </w:r>
          </w:p>
        </w:tc>
        <w:tc>
          <w:tcPr>
            <w:tcW w:w="3295" w:type="dxa"/>
            <w:vAlign w:val="center"/>
          </w:tcPr>
          <w:p w14:paraId="63FAC1B0">
            <w:pPr>
              <w:spacing w:line="360" w:lineRule="auto"/>
              <w:rPr>
                <w:rFonts w:ascii="宋体" w:hAnsi="宋体" w:eastAsia="宋体" w:cs="Times New Roman"/>
                <w:color w:val="auto"/>
                <w:sz w:val="24"/>
                <w:szCs w:val="24"/>
                <w:highlight w:val="none"/>
              </w:rPr>
            </w:pPr>
          </w:p>
        </w:tc>
      </w:tr>
      <w:tr w14:paraId="71BDA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769" w:type="dxa"/>
            <w:vAlign w:val="center"/>
          </w:tcPr>
          <w:p w14:paraId="0878C95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第12.2款</w:t>
            </w:r>
          </w:p>
        </w:tc>
        <w:tc>
          <w:tcPr>
            <w:tcW w:w="2769" w:type="dxa"/>
            <w:vAlign w:val="center"/>
          </w:tcPr>
          <w:p w14:paraId="060DF75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合同价款支付时间</w:t>
            </w:r>
          </w:p>
        </w:tc>
        <w:tc>
          <w:tcPr>
            <w:tcW w:w="3295" w:type="dxa"/>
            <w:vAlign w:val="center"/>
          </w:tcPr>
          <w:p w14:paraId="71BB3BF5">
            <w:pPr>
              <w:spacing w:line="360" w:lineRule="auto"/>
              <w:rPr>
                <w:rFonts w:ascii="宋体" w:hAnsi="宋体" w:eastAsia="宋体" w:cs="Times New Roman"/>
                <w:color w:val="auto"/>
                <w:sz w:val="24"/>
                <w:szCs w:val="24"/>
                <w:highlight w:val="none"/>
              </w:rPr>
            </w:pPr>
          </w:p>
        </w:tc>
      </w:tr>
      <w:tr w14:paraId="79579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AA04DE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第13.2款</w:t>
            </w:r>
          </w:p>
        </w:tc>
        <w:tc>
          <w:tcPr>
            <w:tcW w:w="2769" w:type="dxa"/>
            <w:vAlign w:val="center"/>
          </w:tcPr>
          <w:p w14:paraId="1214829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履约保证金不予退还的情形</w:t>
            </w:r>
          </w:p>
        </w:tc>
        <w:tc>
          <w:tcPr>
            <w:tcW w:w="3295" w:type="dxa"/>
            <w:vAlign w:val="center"/>
          </w:tcPr>
          <w:p w14:paraId="104981AE">
            <w:pPr>
              <w:spacing w:line="360" w:lineRule="auto"/>
              <w:rPr>
                <w:rFonts w:ascii="宋体" w:hAnsi="宋体" w:eastAsia="宋体" w:cs="Times New Roman"/>
                <w:color w:val="auto"/>
                <w:sz w:val="24"/>
                <w:szCs w:val="24"/>
                <w:highlight w:val="none"/>
              </w:rPr>
            </w:pPr>
          </w:p>
        </w:tc>
      </w:tr>
      <w:tr w14:paraId="3B945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DA0C5A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第13.3款</w:t>
            </w:r>
          </w:p>
        </w:tc>
        <w:tc>
          <w:tcPr>
            <w:tcW w:w="2769" w:type="dxa"/>
            <w:vAlign w:val="center"/>
          </w:tcPr>
          <w:p w14:paraId="0E5AF7C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履约保证金退还时间及逾期退还的违约金</w:t>
            </w:r>
          </w:p>
        </w:tc>
        <w:tc>
          <w:tcPr>
            <w:tcW w:w="3295" w:type="dxa"/>
            <w:vAlign w:val="center"/>
          </w:tcPr>
          <w:p w14:paraId="69440C59">
            <w:pPr>
              <w:spacing w:line="360" w:lineRule="auto"/>
              <w:rPr>
                <w:rFonts w:ascii="宋体" w:hAnsi="宋体" w:eastAsia="宋体" w:cs="Times New Roman"/>
                <w:color w:val="auto"/>
                <w:sz w:val="24"/>
                <w:szCs w:val="24"/>
                <w:highlight w:val="none"/>
              </w:rPr>
            </w:pPr>
          </w:p>
        </w:tc>
      </w:tr>
      <w:tr w14:paraId="07813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3BC71D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第14.1（3）项</w:t>
            </w:r>
          </w:p>
        </w:tc>
        <w:tc>
          <w:tcPr>
            <w:tcW w:w="2769" w:type="dxa"/>
            <w:vAlign w:val="center"/>
          </w:tcPr>
          <w:p w14:paraId="2C90033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运行监督、维修期限</w:t>
            </w:r>
          </w:p>
        </w:tc>
        <w:tc>
          <w:tcPr>
            <w:tcW w:w="3295" w:type="dxa"/>
            <w:vAlign w:val="center"/>
          </w:tcPr>
          <w:p w14:paraId="7EC25927">
            <w:pPr>
              <w:spacing w:line="360" w:lineRule="auto"/>
              <w:rPr>
                <w:rFonts w:ascii="宋体" w:hAnsi="宋体" w:eastAsia="宋体" w:cs="Times New Roman"/>
                <w:color w:val="auto"/>
                <w:sz w:val="24"/>
                <w:szCs w:val="24"/>
                <w:highlight w:val="none"/>
              </w:rPr>
            </w:pPr>
          </w:p>
        </w:tc>
      </w:tr>
      <w:tr w14:paraId="5B5BF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30A705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第14.1（5）项</w:t>
            </w:r>
          </w:p>
        </w:tc>
        <w:tc>
          <w:tcPr>
            <w:tcW w:w="2769" w:type="dxa"/>
            <w:vAlign w:val="center"/>
          </w:tcPr>
          <w:p w14:paraId="683C05D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货物回收的约定</w:t>
            </w:r>
          </w:p>
        </w:tc>
        <w:tc>
          <w:tcPr>
            <w:tcW w:w="3295" w:type="dxa"/>
            <w:vAlign w:val="center"/>
          </w:tcPr>
          <w:p w14:paraId="1AD29452">
            <w:pPr>
              <w:spacing w:line="360" w:lineRule="auto"/>
              <w:rPr>
                <w:rFonts w:ascii="宋体" w:hAnsi="宋体" w:eastAsia="宋体" w:cs="Times New Roman"/>
                <w:color w:val="auto"/>
                <w:sz w:val="24"/>
                <w:szCs w:val="24"/>
                <w:highlight w:val="none"/>
              </w:rPr>
            </w:pPr>
          </w:p>
        </w:tc>
      </w:tr>
      <w:tr w14:paraId="6543E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D9C849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第14.1（6）项</w:t>
            </w:r>
          </w:p>
        </w:tc>
        <w:tc>
          <w:tcPr>
            <w:tcW w:w="2769" w:type="dxa"/>
            <w:vAlign w:val="center"/>
          </w:tcPr>
          <w:p w14:paraId="45E3C11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乙方提供的其他服务</w:t>
            </w:r>
          </w:p>
        </w:tc>
        <w:tc>
          <w:tcPr>
            <w:tcW w:w="3295" w:type="dxa"/>
            <w:vAlign w:val="center"/>
          </w:tcPr>
          <w:p w14:paraId="50EF5262">
            <w:pPr>
              <w:spacing w:line="360" w:lineRule="auto"/>
              <w:rPr>
                <w:rFonts w:ascii="宋体" w:hAnsi="宋体" w:eastAsia="宋体" w:cs="Times New Roman"/>
                <w:color w:val="auto"/>
                <w:sz w:val="24"/>
                <w:szCs w:val="24"/>
                <w:highlight w:val="none"/>
              </w:rPr>
            </w:pPr>
          </w:p>
        </w:tc>
      </w:tr>
      <w:tr w14:paraId="2DDFE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BAEADF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第15.1款</w:t>
            </w:r>
          </w:p>
        </w:tc>
        <w:tc>
          <w:tcPr>
            <w:tcW w:w="2769" w:type="dxa"/>
            <w:vAlign w:val="center"/>
          </w:tcPr>
          <w:p w14:paraId="41D1AAA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修理、重作、更换相关具体规定</w:t>
            </w:r>
          </w:p>
        </w:tc>
        <w:tc>
          <w:tcPr>
            <w:tcW w:w="3295" w:type="dxa"/>
            <w:vAlign w:val="center"/>
          </w:tcPr>
          <w:p w14:paraId="1333A875">
            <w:pPr>
              <w:spacing w:line="360" w:lineRule="auto"/>
              <w:rPr>
                <w:rFonts w:ascii="宋体" w:hAnsi="宋体" w:eastAsia="宋体" w:cs="Times New Roman"/>
                <w:color w:val="auto"/>
                <w:sz w:val="24"/>
                <w:szCs w:val="24"/>
                <w:highlight w:val="none"/>
              </w:rPr>
            </w:pPr>
          </w:p>
        </w:tc>
      </w:tr>
      <w:tr w14:paraId="5E007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92F2C6A">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第15.2（2）项</w:t>
            </w:r>
          </w:p>
        </w:tc>
        <w:tc>
          <w:tcPr>
            <w:tcW w:w="2769" w:type="dxa"/>
            <w:vAlign w:val="center"/>
          </w:tcPr>
          <w:p w14:paraId="56AE1F4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迟延交货赔偿费</w:t>
            </w:r>
          </w:p>
        </w:tc>
        <w:tc>
          <w:tcPr>
            <w:tcW w:w="3295" w:type="dxa"/>
            <w:vAlign w:val="center"/>
          </w:tcPr>
          <w:p w14:paraId="1048D51F">
            <w:pPr>
              <w:spacing w:line="360" w:lineRule="auto"/>
              <w:rPr>
                <w:rFonts w:ascii="宋体" w:hAnsi="宋体" w:eastAsia="宋体" w:cs="Times New Roman"/>
                <w:color w:val="auto"/>
                <w:sz w:val="24"/>
                <w:szCs w:val="24"/>
                <w:highlight w:val="none"/>
              </w:rPr>
            </w:pPr>
          </w:p>
        </w:tc>
      </w:tr>
      <w:tr w14:paraId="230C6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6F2C94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第15.3款</w:t>
            </w:r>
          </w:p>
        </w:tc>
        <w:tc>
          <w:tcPr>
            <w:tcW w:w="2769" w:type="dxa"/>
            <w:vAlign w:val="center"/>
          </w:tcPr>
          <w:p w14:paraId="2BBF629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逾期付款利息</w:t>
            </w:r>
          </w:p>
        </w:tc>
        <w:tc>
          <w:tcPr>
            <w:tcW w:w="3295" w:type="dxa"/>
            <w:vAlign w:val="center"/>
          </w:tcPr>
          <w:p w14:paraId="3DA81AD7">
            <w:pPr>
              <w:spacing w:line="360" w:lineRule="auto"/>
              <w:rPr>
                <w:rFonts w:ascii="宋体" w:hAnsi="宋体" w:eastAsia="宋体" w:cs="Times New Roman"/>
                <w:color w:val="auto"/>
                <w:sz w:val="24"/>
                <w:szCs w:val="24"/>
                <w:highlight w:val="none"/>
              </w:rPr>
            </w:pPr>
          </w:p>
        </w:tc>
      </w:tr>
      <w:tr w14:paraId="57725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5B6B69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第15.4款</w:t>
            </w:r>
          </w:p>
        </w:tc>
        <w:tc>
          <w:tcPr>
            <w:tcW w:w="2769" w:type="dxa"/>
            <w:vAlign w:val="center"/>
          </w:tcPr>
          <w:p w14:paraId="0A3DD60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其他违约责任</w:t>
            </w:r>
          </w:p>
        </w:tc>
        <w:tc>
          <w:tcPr>
            <w:tcW w:w="3295" w:type="dxa"/>
            <w:vAlign w:val="center"/>
          </w:tcPr>
          <w:p w14:paraId="73DE8B58">
            <w:pPr>
              <w:spacing w:line="360" w:lineRule="auto"/>
              <w:rPr>
                <w:rFonts w:ascii="宋体" w:hAnsi="宋体" w:eastAsia="宋体" w:cs="Times New Roman"/>
                <w:color w:val="auto"/>
                <w:sz w:val="24"/>
                <w:szCs w:val="24"/>
                <w:highlight w:val="none"/>
              </w:rPr>
            </w:pPr>
          </w:p>
        </w:tc>
      </w:tr>
      <w:tr w14:paraId="07EF3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5D88E4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第19.2款</w:t>
            </w:r>
          </w:p>
        </w:tc>
        <w:tc>
          <w:tcPr>
            <w:tcW w:w="2769" w:type="dxa"/>
            <w:vAlign w:val="center"/>
          </w:tcPr>
          <w:p w14:paraId="5646DB7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解决争议的方法</w:t>
            </w:r>
          </w:p>
        </w:tc>
        <w:tc>
          <w:tcPr>
            <w:tcW w:w="3295" w:type="dxa"/>
            <w:vAlign w:val="center"/>
          </w:tcPr>
          <w:p w14:paraId="4137F74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因本合同及合同有关事项发生的争议，按下列第____ 种方式解决：</w:t>
            </w:r>
          </w:p>
          <w:p w14:paraId="1ACC5C7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（1）向 _____仲裁委员会申请仲裁，仲裁地点为 ____；</w:t>
            </w:r>
          </w:p>
          <w:p w14:paraId="2D5E16B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（2）向__________人民法院起诉。</w:t>
            </w:r>
          </w:p>
        </w:tc>
      </w:tr>
      <w:tr w14:paraId="32F73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234800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第23.1款</w:t>
            </w:r>
          </w:p>
        </w:tc>
        <w:tc>
          <w:tcPr>
            <w:tcW w:w="2769" w:type="dxa"/>
            <w:vAlign w:val="center"/>
          </w:tcPr>
          <w:p w14:paraId="0939E2C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其他专用条款</w:t>
            </w:r>
          </w:p>
        </w:tc>
        <w:tc>
          <w:tcPr>
            <w:tcW w:w="3295" w:type="dxa"/>
            <w:vAlign w:val="center"/>
          </w:tcPr>
          <w:p w14:paraId="49FB786D">
            <w:pPr>
              <w:spacing w:line="360" w:lineRule="auto"/>
              <w:rPr>
                <w:rFonts w:ascii="宋体" w:hAnsi="宋体" w:eastAsia="宋体" w:cs="Times New Roman"/>
                <w:color w:val="auto"/>
                <w:sz w:val="24"/>
                <w:szCs w:val="24"/>
                <w:highlight w:val="none"/>
              </w:rPr>
            </w:pPr>
          </w:p>
        </w:tc>
      </w:tr>
    </w:tbl>
    <w:p w14:paraId="309823D5">
      <w:pPr>
        <w:rPr>
          <w:rFonts w:ascii="Calibri" w:hAnsi="Calibri" w:eastAsia="宋体" w:cs="Times New Roman"/>
          <w:color w:val="auto"/>
          <w:highlight w:val="none"/>
        </w:rPr>
      </w:pPr>
    </w:p>
    <w:p w14:paraId="571BF3BE">
      <w:pPr>
        <w:rPr>
          <w:color w:val="auto"/>
          <w:highlight w:val="none"/>
        </w:rPr>
      </w:pPr>
    </w:p>
    <w:p w14:paraId="0B51EE7C">
      <w:pPr>
        <w:rPr>
          <w:color w:val="auto"/>
          <w:highlight w:val="none"/>
        </w:rPr>
      </w:pPr>
    </w:p>
    <w:p w14:paraId="0ECDE799">
      <w:pPr>
        <w:rPr>
          <w:rFonts w:ascii="Calibri" w:hAnsi="Calibri" w:eastAsia="宋体" w:cs="Times New Roman"/>
          <w:color w:val="auto"/>
          <w:highlight w:val="none"/>
        </w:rPr>
        <w:sectPr>
          <w:pgSz w:w="11906" w:h="16838"/>
          <w:pgMar w:top="1418" w:right="1418" w:bottom="1418" w:left="1418" w:header="851" w:footer="992" w:gutter="0"/>
          <w:cols w:space="425" w:num="1"/>
          <w:docGrid w:type="lines" w:linePitch="312" w:charSpace="0"/>
        </w:sectPr>
      </w:pPr>
    </w:p>
    <w:p w14:paraId="1DA25E23">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33" w:name="_Toc139103828"/>
      <w:r>
        <w:rPr>
          <w:rFonts w:ascii="黑体" w:hAnsi="黑体" w:eastAsia="黑体" w:cs="Times New Roman"/>
          <w:color w:val="auto"/>
          <w:kern w:val="0"/>
          <w:sz w:val="32"/>
          <w:szCs w:val="44"/>
          <w:highlight w:val="none"/>
        </w:rPr>
        <w:t>第七章  电子投标文件格式</w:t>
      </w:r>
      <w:bookmarkEnd w:id="33"/>
    </w:p>
    <w:p w14:paraId="004A5A99">
      <w:pPr>
        <w:spacing w:beforeLines="50" w:afterLines="50"/>
        <w:jc w:val="center"/>
        <w:rPr>
          <w:b/>
          <w:color w:val="auto"/>
          <w:sz w:val="28"/>
          <w:szCs w:val="28"/>
          <w:highlight w:val="none"/>
        </w:rPr>
      </w:pPr>
      <w:r>
        <w:rPr>
          <w:b/>
          <w:color w:val="auto"/>
          <w:sz w:val="28"/>
          <w:szCs w:val="28"/>
          <w:highlight w:val="none"/>
        </w:rPr>
        <w:t>编制说明</w:t>
      </w:r>
    </w:p>
    <w:p w14:paraId="530736D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1、除招标文件另有规定外，本章中：</w:t>
      </w:r>
    </w:p>
    <w:p w14:paraId="0ED5E97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1.1涉及投标人的“全称”：</w:t>
      </w:r>
    </w:p>
    <w:p w14:paraId="54D3628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（1）不接受联合体投标的，指投标人的全称。</w:t>
      </w:r>
    </w:p>
    <w:p w14:paraId="12830EC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（2）接受联合体投标且投标人为联合体的，指牵头方的全称并加注（联合体牵头方），即应表述为：“牵头方的全称（联合体牵头方）”。</w:t>
      </w:r>
    </w:p>
    <w:p w14:paraId="1AC2FF9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1.2涉及投标人“加盖单位公章”：</w:t>
      </w:r>
    </w:p>
    <w:p w14:paraId="1C6D5DA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（1）不接受联合体投标的，指加盖投标人的单位公章。</w:t>
      </w:r>
    </w:p>
    <w:p w14:paraId="6DD3A83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（2）接受联合体投标且投标人为联合体的，指加盖联合体牵头方的单位公章。</w:t>
      </w:r>
    </w:p>
    <w:p w14:paraId="1CE5291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1.3涉及“投标人代表签字”：</w:t>
      </w:r>
    </w:p>
    <w:p w14:paraId="332DCBD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（1）不接受联合体投标的，指由投标人的单位负责人或其授权的委托代理人签字，由委托代理人签字的，应提供“单位授权书”。</w:t>
      </w:r>
    </w:p>
    <w:p w14:paraId="401F6B9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（2）接受联合体投标且投标人为联合体的，指由联合体牵头方的单位负责人或其授权的委托代理人签字，由委托代理人签字的，应提供“单位授权书”。</w:t>
      </w:r>
    </w:p>
    <w:p w14:paraId="7156C90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1.4“其他组织”指合伙企业、非企业专业服务机构、个体工商户、农村承包经营户等。</w:t>
      </w:r>
    </w:p>
    <w:p w14:paraId="1C06CAF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1.5“自然人”指具有完全民事行为能力、能够承担民事责任和义务的中国公民。</w:t>
      </w:r>
    </w:p>
    <w:p w14:paraId="14FD11C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2、除招标文件另有规定外，本章中“投标人的资格及资信证明文件”：</w:t>
      </w:r>
    </w:p>
    <w:p w14:paraId="1E47D9C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2.1投标人应按照招标文件第四章第1.3条第（2）款规定及本章规定进行编制，如有必要，可增加附页，附页作为资格及资信文件的组成部分。</w:t>
      </w:r>
    </w:p>
    <w:p w14:paraId="54173CF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2.2接受联合体投标且投标人为联合体的，联合体中的各方均应按照本章第2.1条规定提交相应的全部资料。</w:t>
      </w:r>
    </w:p>
    <w:p w14:paraId="6E210BA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3、投标人对电子投标文件的索引应编制页码。</w:t>
      </w:r>
    </w:p>
    <w:p w14:paraId="0C16CBD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4、本章提供格式仅供参考，投标人应根据自身实际情况制作电子投标文件。</w:t>
      </w:r>
    </w:p>
    <w:p w14:paraId="4A239A18">
      <w:pPr>
        <w:rPr>
          <w:color w:val="auto"/>
          <w:highlight w:val="none"/>
        </w:rPr>
        <w:sectPr>
          <w:pgSz w:w="11906" w:h="16838"/>
          <w:pgMar w:top="1418" w:right="1418" w:bottom="1418" w:left="1418" w:header="851" w:footer="992" w:gutter="0"/>
          <w:cols w:space="425" w:num="1"/>
          <w:docGrid w:type="lines" w:linePitch="312" w:charSpace="0"/>
        </w:sectPr>
      </w:pPr>
    </w:p>
    <w:p w14:paraId="35A6098F">
      <w:pPr>
        <w:spacing w:beforeLines="50" w:afterLines="50"/>
        <w:jc w:val="center"/>
        <w:rPr>
          <w:b/>
          <w:color w:val="auto"/>
          <w:sz w:val="28"/>
          <w:szCs w:val="28"/>
          <w:highlight w:val="none"/>
        </w:rPr>
      </w:pPr>
      <w:r>
        <w:rPr>
          <w:b/>
          <w:color w:val="auto"/>
          <w:sz w:val="28"/>
          <w:szCs w:val="28"/>
          <w:highlight w:val="none"/>
        </w:rPr>
        <w:t>封面格式（资格及资信证明部分）</w:t>
      </w:r>
    </w:p>
    <w:p w14:paraId="313C6174">
      <w:pPr>
        <w:jc w:val="center"/>
        <w:rPr>
          <w:rFonts w:ascii="宋体" w:hAnsi="宋体" w:eastAsia="宋体"/>
          <w:b/>
          <w:color w:val="auto"/>
          <w:sz w:val="32"/>
          <w:szCs w:val="32"/>
          <w:highlight w:val="none"/>
        </w:rPr>
      </w:pPr>
    </w:p>
    <w:p w14:paraId="00355730">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07F1CADA">
      <w:pPr>
        <w:jc w:val="center"/>
        <w:rPr>
          <w:rFonts w:ascii="宋体" w:hAnsi="宋体" w:eastAsia="宋体"/>
          <w:b/>
          <w:color w:val="auto"/>
          <w:sz w:val="32"/>
          <w:szCs w:val="32"/>
          <w:highlight w:val="none"/>
        </w:rPr>
      </w:pPr>
      <w:r>
        <w:rPr>
          <w:rFonts w:ascii="宋体" w:hAnsi="宋体" w:eastAsia="宋体"/>
          <w:b/>
          <w:color w:val="auto"/>
          <w:sz w:val="32"/>
          <w:szCs w:val="32"/>
          <w:highlight w:val="none"/>
        </w:rPr>
        <w:t>（资格及资信证明部分）</w:t>
      </w:r>
    </w:p>
    <w:p w14:paraId="78543343">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60252155">
      <w:pPr>
        <w:jc w:val="center"/>
        <w:rPr>
          <w:rFonts w:ascii="宋体" w:hAnsi="宋体" w:eastAsia="宋体"/>
          <w:b/>
          <w:color w:val="auto"/>
          <w:sz w:val="32"/>
          <w:szCs w:val="32"/>
          <w:highlight w:val="none"/>
        </w:rPr>
      </w:pPr>
    </w:p>
    <w:p w14:paraId="42652800">
      <w:pPr>
        <w:jc w:val="center"/>
        <w:rPr>
          <w:rFonts w:ascii="宋体" w:hAnsi="宋体" w:eastAsia="宋体"/>
          <w:b/>
          <w:color w:val="auto"/>
          <w:sz w:val="32"/>
          <w:szCs w:val="32"/>
          <w:highlight w:val="none"/>
        </w:rPr>
      </w:pPr>
    </w:p>
    <w:p w14:paraId="4E663120">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259D1300">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35F5063C">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5D188EF7">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031DC49A">
      <w:pPr>
        <w:jc w:val="center"/>
        <w:rPr>
          <w:rFonts w:ascii="宋体" w:hAnsi="宋体" w:eastAsia="宋体"/>
          <w:b/>
          <w:color w:val="auto"/>
          <w:sz w:val="32"/>
          <w:szCs w:val="32"/>
          <w:highlight w:val="none"/>
        </w:rPr>
      </w:pPr>
    </w:p>
    <w:p w14:paraId="685B8045">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6E300869">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2D19CDC0">
      <w:pPr>
        <w:rPr>
          <w:color w:val="auto"/>
          <w:highlight w:val="none"/>
        </w:rPr>
      </w:pPr>
    </w:p>
    <w:p w14:paraId="1F2B3F0F">
      <w:pPr>
        <w:rPr>
          <w:color w:val="auto"/>
          <w:highlight w:val="none"/>
        </w:rPr>
        <w:sectPr>
          <w:pgSz w:w="11906" w:h="16838"/>
          <w:pgMar w:top="1418" w:right="1418" w:bottom="1418" w:left="1418" w:header="851" w:footer="992" w:gutter="0"/>
          <w:cols w:space="425" w:num="1"/>
          <w:docGrid w:type="lines" w:linePitch="312" w:charSpace="0"/>
        </w:sectPr>
      </w:pPr>
    </w:p>
    <w:p w14:paraId="09583DE1">
      <w:pPr>
        <w:spacing w:beforeLines="50" w:afterLines="50"/>
        <w:jc w:val="center"/>
        <w:rPr>
          <w:b/>
          <w:color w:val="auto"/>
          <w:sz w:val="28"/>
          <w:szCs w:val="28"/>
          <w:highlight w:val="none"/>
        </w:rPr>
      </w:pPr>
      <w:r>
        <w:rPr>
          <w:b/>
          <w:color w:val="auto"/>
          <w:sz w:val="28"/>
          <w:szCs w:val="28"/>
          <w:highlight w:val="none"/>
        </w:rPr>
        <w:t>索引</w:t>
      </w:r>
    </w:p>
    <w:p w14:paraId="50E3DF6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一、投标函</w:t>
      </w:r>
    </w:p>
    <w:p w14:paraId="03395B1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二、投标人的资格及资信证明文件</w:t>
      </w:r>
    </w:p>
    <w:p w14:paraId="3B535D7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三、投标保证金</w:t>
      </w:r>
    </w:p>
    <w:p w14:paraId="1259B11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C54F11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7B51110D">
      <w:pPr>
        <w:pStyle w:val="54"/>
        <w:spacing w:line="360" w:lineRule="auto"/>
        <w:ind w:firstLine="480" w:firstLineChars="200"/>
        <w:rPr>
          <w:rFonts w:hint="default" w:asciiTheme="minorEastAsia" w:hAnsiTheme="minorEastAsia"/>
          <w:color w:val="auto"/>
          <w:sz w:val="24"/>
          <w:szCs w:val="24"/>
          <w:highlight w:val="none"/>
        </w:rPr>
      </w:pPr>
    </w:p>
    <w:p w14:paraId="5B11F5D8">
      <w:pPr>
        <w:rPr>
          <w:color w:val="auto"/>
          <w:highlight w:val="none"/>
        </w:rPr>
        <w:sectPr>
          <w:pgSz w:w="11906" w:h="16838"/>
          <w:pgMar w:top="1418" w:right="1418" w:bottom="1418" w:left="1418" w:header="851" w:footer="992" w:gutter="0"/>
          <w:cols w:space="425" w:num="1"/>
          <w:docGrid w:type="lines" w:linePitch="312" w:charSpace="0"/>
        </w:sectPr>
      </w:pPr>
    </w:p>
    <w:p w14:paraId="6EA7F16F">
      <w:pPr>
        <w:spacing w:beforeLines="50" w:afterLines="50"/>
        <w:jc w:val="center"/>
        <w:rPr>
          <w:b/>
          <w:color w:val="auto"/>
          <w:sz w:val="28"/>
          <w:szCs w:val="28"/>
          <w:highlight w:val="none"/>
        </w:rPr>
      </w:pPr>
      <w:r>
        <w:rPr>
          <w:b/>
          <w:color w:val="auto"/>
          <w:sz w:val="28"/>
          <w:szCs w:val="28"/>
          <w:highlight w:val="none"/>
        </w:rPr>
        <w:t>一、投标函</w:t>
      </w:r>
    </w:p>
    <w:p w14:paraId="5C8C0DC2">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6AD15DC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兹收到贵单位关于</w:t>
      </w:r>
      <w:r>
        <w:rPr>
          <w:rFonts w:asciiTheme="minorEastAsia" w:hAnsiTheme="minorEastAsia"/>
          <w:color w:val="auto"/>
          <w:sz w:val="24"/>
          <w:szCs w:val="24"/>
          <w:highlight w:val="none"/>
          <w:u w:val="single"/>
        </w:rPr>
        <w:t xml:space="preserve">（填写“项目名称”） </w:t>
      </w:r>
      <w:r>
        <w:rPr>
          <w:rFonts w:asciiTheme="minorEastAsia" w:hAnsiTheme="minorEastAsia"/>
          <w:color w:val="auto"/>
          <w:sz w:val="24"/>
          <w:szCs w:val="24"/>
          <w:highlight w:val="none"/>
        </w:rPr>
        <w:t>项目</w:t>
      </w:r>
      <w:r>
        <w:rPr>
          <w:rFonts w:asciiTheme="minorEastAsia" w:hAnsiTheme="minorEastAsia"/>
          <w:color w:val="auto"/>
          <w:sz w:val="24"/>
          <w:szCs w:val="24"/>
          <w:highlight w:val="none"/>
          <w:u w:val="single"/>
        </w:rPr>
        <w:t xml:space="preserve">（项目编号：　　　　　） </w:t>
      </w:r>
      <w:r>
        <w:rPr>
          <w:rFonts w:asciiTheme="minorEastAsia" w:hAnsiTheme="minorEastAsia"/>
          <w:color w:val="auto"/>
          <w:sz w:val="24"/>
          <w:szCs w:val="24"/>
          <w:highlight w:val="none"/>
        </w:rPr>
        <w:t>的投标邀请，本投标人代表</w:t>
      </w:r>
      <w:r>
        <w:rPr>
          <w:rFonts w:asciiTheme="minorEastAsia" w:hAnsiTheme="minorEastAsia"/>
          <w:color w:val="auto"/>
          <w:sz w:val="24"/>
          <w:szCs w:val="24"/>
          <w:highlight w:val="none"/>
          <w:u w:val="single"/>
        </w:rPr>
        <w:t xml:space="preserve">（填写“全名”） </w:t>
      </w:r>
      <w:r>
        <w:rPr>
          <w:rFonts w:asciiTheme="minorEastAsia" w:hAnsiTheme="minorEastAsia"/>
          <w:color w:val="auto"/>
          <w:sz w:val="24"/>
          <w:szCs w:val="24"/>
          <w:highlight w:val="none"/>
        </w:rPr>
        <w:t>已获得我方正式授权并代表投标人（填写“全称”）参加投标，并提交电子投标文件。我方提交的全部电子投标文件由下述部分组成：</w:t>
      </w:r>
    </w:p>
    <w:p w14:paraId="11D9219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（1）资格及资信证明部分</w:t>
      </w:r>
    </w:p>
    <w:p w14:paraId="6137179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①投标函</w:t>
      </w:r>
    </w:p>
    <w:p w14:paraId="095DF91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②投标人的资格及资信证明文件</w:t>
      </w:r>
    </w:p>
    <w:p w14:paraId="7E4FE14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③投标保证金</w:t>
      </w:r>
    </w:p>
    <w:p w14:paraId="56558ED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（2）报价部分</w:t>
      </w:r>
    </w:p>
    <w:p w14:paraId="27B0AC1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①开标（报价）一览表</w:t>
      </w:r>
    </w:p>
    <w:p w14:paraId="550FD6E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②投标（响应）报价明细表</w:t>
      </w:r>
    </w:p>
    <w:p w14:paraId="0A43C2D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③招标文件规定的价格扣除证明材料（若有）</w:t>
      </w:r>
    </w:p>
    <w:p w14:paraId="60D14B0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④招标文件规定的加分证明材料（若有）</w:t>
      </w:r>
    </w:p>
    <w:p w14:paraId="3AF99BB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（3）技术商务部分</w:t>
      </w:r>
    </w:p>
    <w:p w14:paraId="784F9B0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①标的说明一览表</w:t>
      </w:r>
    </w:p>
    <w:p w14:paraId="5C4A4BD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②技术和服务要求响应表</w:t>
      </w:r>
    </w:p>
    <w:p w14:paraId="17161CB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③商务条件响应表</w:t>
      </w:r>
    </w:p>
    <w:p w14:paraId="5259201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④投标人提交的其他资料（若有）</w:t>
      </w:r>
    </w:p>
    <w:p w14:paraId="3166AEC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根据本函，本投标人代表宣布我方保证遵守招标文件的全部规定，同时：</w:t>
      </w:r>
    </w:p>
    <w:p w14:paraId="2432BAF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1、确认：</w:t>
      </w:r>
    </w:p>
    <w:p w14:paraId="1C61992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1.1所投采购包的投标报价详见“开标（报价）一览表”及“投标（响应）报价明细表”。</w:t>
      </w:r>
    </w:p>
    <w:p w14:paraId="1EA99E7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1.2我方已详细审查全部招标文件[包括但不限于：有关附件（若有）、澄清或修改（若有）等]，并自行承担因对全部招标文件理解不正确或误解而产生的相应后果和责任。</w:t>
      </w:r>
    </w:p>
    <w:p w14:paraId="35CBE1B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2、承诺及声明：</w:t>
      </w:r>
    </w:p>
    <w:p w14:paraId="657E0AF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2.1我方具备招标文件第一章载明的“投标人的资格要求”且符合招标文件第三章载明的“二、投标人”之规定，否则投标无效。</w:t>
      </w:r>
    </w:p>
    <w:p w14:paraId="0FE1093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2.2我方提交的电子投标文件各组成部分的全部内容及资料是不可割离且真实、有效、准确、完整和不具有任何误导性的，否则产生不利后果由我方承担责任。</w:t>
      </w:r>
    </w:p>
    <w:p w14:paraId="4A5B1CC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2.3我方提供的标的价格不高于同期市场价格，否则产生不利后果由我方承担责任。</w:t>
      </w:r>
    </w:p>
    <w:p w14:paraId="0FEB794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2.4投标保证金：若出现招标文件第三章规定的不予退还情形，同意贵单位不予退还。</w:t>
      </w:r>
    </w:p>
    <w:p w14:paraId="5304B5E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2.5投标有效期：按照招标文件第三章规定执行，并在招标文件第二章载明的期限内保持有效。</w:t>
      </w:r>
    </w:p>
    <w:p w14:paraId="3A98B19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2.6若中标，将按照招标文件、我方电子投标文件及政府采购合同履行责任和义务。</w:t>
      </w:r>
    </w:p>
    <w:p w14:paraId="16C4408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2.7若贵单位要求，我方同意提供与本项目投标有关的一切资料、数据或文件，并完全理解贵单位不一定要接受最低的投标报价或收到的任何投标。</w:t>
      </w:r>
    </w:p>
    <w:p w14:paraId="72D5353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2.8我方承诺遵守《中华人民共和国劳动合同法》有关规定和《中华人民共和国妇女权益保障法 》中关于“劳动和社会保障权益”的有关要求。</w:t>
      </w:r>
    </w:p>
    <w:p w14:paraId="75D8BD4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2.9我方承诺电子投标文件所提供的全部资料真实可靠，并接受评标委员会、采购人、采购代理机构、监管部门进一步审查其中任何资料真实性的要求。</w:t>
      </w:r>
    </w:p>
    <w:p w14:paraId="24CBBCF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2.10除招标文件另有规定外，对于贵单位按照下述联络方式发出的任何信息或通知，均视为我方已收悉前述信息或通知的全部内容：</w:t>
      </w:r>
    </w:p>
    <w:p w14:paraId="63FAD23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通信地址：</w:t>
      </w:r>
    </w:p>
    <w:p w14:paraId="2D8E64A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邮编：</w:t>
      </w:r>
    </w:p>
    <w:p w14:paraId="5DA05F9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联系方法：（包括但不限于：联系人、联系电话、手机、传真、电子邮箱等）</w:t>
      </w:r>
    </w:p>
    <w:p w14:paraId="3B9EDBB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投标人：（全称并加盖单位公章）</w:t>
      </w:r>
    </w:p>
    <w:p w14:paraId="368C72E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 年 月 日</w:t>
      </w:r>
    </w:p>
    <w:p w14:paraId="4A974C28">
      <w:pPr>
        <w:rPr>
          <w:color w:val="auto"/>
          <w:highlight w:val="none"/>
        </w:rPr>
      </w:pPr>
    </w:p>
    <w:p w14:paraId="51386957">
      <w:pPr>
        <w:rPr>
          <w:color w:val="auto"/>
          <w:highlight w:val="none"/>
        </w:rPr>
        <w:sectPr>
          <w:pgSz w:w="11906" w:h="16838"/>
          <w:pgMar w:top="1418" w:right="1418" w:bottom="1418" w:left="1418" w:header="851" w:footer="992" w:gutter="0"/>
          <w:cols w:space="425" w:num="1"/>
          <w:docGrid w:type="lines" w:linePitch="312" w:charSpace="0"/>
        </w:sectPr>
      </w:pPr>
    </w:p>
    <w:p w14:paraId="2C3E77C8">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二、投标人的资格及资信证明文件</w:t>
      </w:r>
    </w:p>
    <w:p w14:paraId="13940832">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二-1单位授权书（若有）</w:t>
      </w:r>
    </w:p>
    <w:p w14:paraId="37A944C9">
      <w:pPr>
        <w:pStyle w:val="54"/>
        <w:spacing w:line="276"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35C42977">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我方的单位负责人</w:t>
      </w:r>
      <w:r>
        <w:rPr>
          <w:rFonts w:asciiTheme="minorEastAsia" w:hAnsiTheme="minorEastAsia"/>
          <w:color w:val="auto"/>
          <w:sz w:val="24"/>
          <w:szCs w:val="24"/>
          <w:highlight w:val="none"/>
          <w:u w:val="single"/>
        </w:rPr>
        <w:t>（填写“单位负责人全名”）</w:t>
      </w:r>
      <w:r>
        <w:rPr>
          <w:rFonts w:asciiTheme="minorEastAsia" w:hAnsiTheme="minorEastAsia"/>
          <w:color w:val="auto"/>
          <w:sz w:val="24"/>
          <w:szCs w:val="24"/>
          <w:highlight w:val="none"/>
        </w:rPr>
        <w:t>授权</w:t>
      </w:r>
      <w:r>
        <w:rPr>
          <w:rFonts w:asciiTheme="minorEastAsia" w:hAnsiTheme="minorEastAsia"/>
          <w:color w:val="auto"/>
          <w:sz w:val="24"/>
          <w:szCs w:val="24"/>
          <w:highlight w:val="none"/>
          <w:u w:val="single"/>
        </w:rPr>
        <w:t>（填写“投标人代表全名”）</w:t>
      </w:r>
      <w:r>
        <w:rPr>
          <w:rFonts w:asciiTheme="minorEastAsia" w:hAnsiTheme="minorEastAsia"/>
          <w:color w:val="auto"/>
          <w:sz w:val="24"/>
          <w:szCs w:val="24"/>
          <w:highlight w:val="none"/>
        </w:rPr>
        <w:t>为投标人代表，代表我方参加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0BD1043">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投标人代表无转委权。特此授权。</w:t>
      </w:r>
    </w:p>
    <w:p w14:paraId="3F546170">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（以下无正文）</w:t>
      </w:r>
    </w:p>
    <w:p w14:paraId="60619970">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身份证号：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手机：</w:t>
      </w:r>
      <w:r>
        <w:rPr>
          <w:rFonts w:asciiTheme="minorEastAsia" w:hAnsiTheme="minorEastAsia"/>
          <w:color w:val="auto"/>
          <w:sz w:val="24"/>
          <w:szCs w:val="24"/>
          <w:highlight w:val="none"/>
          <w:u w:val="single"/>
        </w:rPr>
        <w:t>　　　　　</w:t>
      </w:r>
    </w:p>
    <w:p w14:paraId="5639DE15">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投标人代表：</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身份证号：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手机：</w:t>
      </w:r>
      <w:r>
        <w:rPr>
          <w:rFonts w:asciiTheme="minorEastAsia" w:hAnsiTheme="minorEastAsia"/>
          <w:color w:val="auto"/>
          <w:sz w:val="24"/>
          <w:szCs w:val="24"/>
          <w:highlight w:val="none"/>
          <w:u w:val="single"/>
        </w:rPr>
        <w:t>　　　　　</w:t>
      </w:r>
    </w:p>
    <w:p w14:paraId="7163F13E">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授权方</w:t>
      </w:r>
    </w:p>
    <w:p w14:paraId="28EF63B4">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21952ADC">
      <w:pPr>
        <w:pStyle w:val="54"/>
        <w:spacing w:line="276"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签署日期： 年 月 日</w:t>
      </w:r>
    </w:p>
    <w:p w14:paraId="7091F4C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附：单位负责人、投标人代表的身份证正反面复印件</w:t>
      </w:r>
    </w:p>
    <w:p w14:paraId="0DB067C0">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要求：真实有效且内容完整、清晰、整洁。</w:t>
      </w:r>
    </w:p>
    <w:p w14:paraId="120AA87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2DBB1F68">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1、企业（银行、保险、石油石化、电力、电信等行业除外）、事业单位和社会团体法人的“单位负责人”指法定代表人，即与实际提交的“营业执照等证明文件”载明的一致。</w:t>
      </w:r>
    </w:p>
    <w:p w14:paraId="53A90344">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AC52E2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4423547B">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4、投标人为自然人的，可不填写本授权书。</w:t>
      </w:r>
    </w:p>
    <w:p w14:paraId="6A6B3980">
      <w:pPr>
        <w:rPr>
          <w:color w:val="auto"/>
          <w:highlight w:val="none"/>
        </w:rPr>
      </w:pPr>
    </w:p>
    <w:p w14:paraId="76A1B426">
      <w:pPr>
        <w:rPr>
          <w:color w:val="auto"/>
          <w:highlight w:val="none"/>
        </w:rPr>
        <w:sectPr>
          <w:pgSz w:w="11906" w:h="16838"/>
          <w:pgMar w:top="1418" w:right="1418" w:bottom="1418" w:left="1418" w:header="851" w:footer="992" w:gutter="0"/>
          <w:cols w:space="425" w:num="1"/>
          <w:docGrid w:type="lines" w:linePitch="312" w:charSpace="0"/>
        </w:sectPr>
      </w:pPr>
    </w:p>
    <w:p w14:paraId="34A53BD5">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 证明材料</w:t>
      </w:r>
    </w:p>
    <w:p w14:paraId="78028A6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838E7BB">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二-2-1 福建省政府采购供应商资格承诺函</w:t>
      </w:r>
    </w:p>
    <w:p w14:paraId="12152133">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34D9662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单位名称（自然人姓名）：</w:t>
      </w:r>
    </w:p>
    <w:p w14:paraId="7CB6461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统一社会信用代码（自然人身份证号码）：</w:t>
      </w:r>
    </w:p>
    <w:p w14:paraId="1E52EFC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法定代表人（负责人）：</w:t>
      </w:r>
    </w:p>
    <w:p w14:paraId="28788B6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联系地址和电话：</w:t>
      </w:r>
    </w:p>
    <w:p w14:paraId="4794EB0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0C93C9A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一、我单位（本人）具备采购文件要求以及《中华人民共和国政府采购法》第二十二条规定的条件：</w:t>
      </w:r>
    </w:p>
    <w:p w14:paraId="5F3BB55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1.具有独立承担民事责任的能力;</w:t>
      </w:r>
    </w:p>
    <w:p w14:paraId="55D2A8E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2.具有良好的商业信誉和健全的财务会计制度;</w:t>
      </w:r>
    </w:p>
    <w:p w14:paraId="4B1C3E2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3.具有履行合同所必需的设备和专业技术能力;</w:t>
      </w:r>
    </w:p>
    <w:p w14:paraId="2DE4D5F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4.有依法缴纳税收和社会保障资金的良好记录;</w:t>
      </w:r>
    </w:p>
    <w:p w14:paraId="5EFA08B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5.参加政府采购活动前三年内，在经营活动中没有重大违法记录；</w:t>
      </w:r>
    </w:p>
    <w:p w14:paraId="576FAC0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6.法律、行政法规规定的其他条件。</w:t>
      </w:r>
    </w:p>
    <w:p w14:paraId="61083A6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83B639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F8BABCF">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供应商：</w:t>
      </w:r>
      <w:r>
        <w:rPr>
          <w:rFonts w:asciiTheme="minorEastAsia" w:hAnsiTheme="minorEastAsia"/>
          <w:color w:val="auto"/>
          <w:sz w:val="24"/>
          <w:szCs w:val="24"/>
          <w:highlight w:val="none"/>
          <w:u w:val="single"/>
        </w:rPr>
        <w:t>名称（单位公章）：</w:t>
      </w:r>
    </w:p>
    <w:p w14:paraId="77EAE33A">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CB19E0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w:t>
      </w:r>
    </w:p>
    <w:p w14:paraId="206D553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1.我单位（本人）专指参加政府采购活动的供应商（含自然人）；</w:t>
      </w:r>
    </w:p>
    <w:p w14:paraId="2C98CB1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2.资格承诺的供应商应在投标（响应）文件中按此模板提供承诺函，否则，视为未按照招标文件规定提交投标人的资格及资信文件，按资格审查不通过处理。</w:t>
      </w:r>
    </w:p>
    <w:p w14:paraId="01317401">
      <w:pPr>
        <w:rPr>
          <w:color w:val="auto"/>
          <w:highlight w:val="none"/>
        </w:rPr>
      </w:pPr>
    </w:p>
    <w:p w14:paraId="6E5CD703">
      <w:pPr>
        <w:rPr>
          <w:color w:val="auto"/>
          <w:highlight w:val="none"/>
        </w:rPr>
        <w:sectPr>
          <w:pgSz w:w="11906" w:h="16838"/>
          <w:pgMar w:top="1418" w:right="1418" w:bottom="1418" w:left="1418" w:header="851" w:footer="992" w:gutter="0"/>
          <w:cols w:space="425" w:num="1"/>
          <w:docGrid w:type="lines" w:linePitch="312" w:charSpace="0"/>
        </w:sectPr>
      </w:pPr>
    </w:p>
    <w:p w14:paraId="4336605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二-2-2 资格证明材料</w:t>
      </w:r>
    </w:p>
    <w:p w14:paraId="4BA3583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营业执照等证明文件</w:t>
      </w:r>
    </w:p>
    <w:p w14:paraId="43B61307">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63BE5F2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）投标人为法人（包括企业、事业单位和社会团体）的</w:t>
      </w:r>
    </w:p>
    <w:p w14:paraId="01F55F0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签发的我方统一社会信用代码（请填写法人的具体证照名称）复印件，该证明材料真实有效，否则我方负全部责任。</w:t>
      </w:r>
    </w:p>
    <w:p w14:paraId="7593DBE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）投标人为非法人（包括其他组织、自然人）的</w:t>
      </w:r>
    </w:p>
    <w:p w14:paraId="78FCF09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签发的我方（请填写非自然人的非法人的具体证照名称）复印件，该证明材料真实有效，否则我方负全部责任。</w:t>
      </w:r>
    </w:p>
    <w:p w14:paraId="7EEF5BF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签发的我方（请填写自然人的身份证件名称）复印件，该证明材料真实有效，否则我方负全部责任。</w:t>
      </w:r>
    </w:p>
    <w:p w14:paraId="7C9D241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33D91DC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1、请投标人按照实际情况编制填写，在相应的（）中打“√”并选择相应的“□”（若有）后，再按照本格式的要求提供相应证明材料的复印件。</w:t>
      </w:r>
    </w:p>
    <w:p w14:paraId="02294C9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087C275">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EE9DA6B">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58B92B74">
      <w:pPr>
        <w:rPr>
          <w:color w:val="auto"/>
          <w:highlight w:val="none"/>
        </w:rPr>
      </w:pPr>
    </w:p>
    <w:p w14:paraId="6A7E4AE7">
      <w:pPr>
        <w:rPr>
          <w:color w:val="auto"/>
          <w:highlight w:val="none"/>
        </w:rPr>
        <w:sectPr>
          <w:pgSz w:w="11906" w:h="16838"/>
          <w:pgMar w:top="1418" w:right="1418" w:bottom="1418" w:left="1418" w:header="851" w:footer="992" w:gutter="0"/>
          <w:cols w:space="425" w:num="1"/>
          <w:docGrid w:type="lines" w:linePitch="312" w:charSpace="0"/>
        </w:sectPr>
      </w:pPr>
    </w:p>
    <w:p w14:paraId="0453071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财务状况报告（财务报告、或资信证明）</w:t>
      </w:r>
    </w:p>
    <w:p w14:paraId="779D8BEB">
      <w:pPr>
        <w:pStyle w:val="54"/>
        <w:spacing w:line="276"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4E7673C6">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）投标人提供财务报告的</w:t>
      </w:r>
    </w:p>
    <w:p w14:paraId="4FED8AE5">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□企业适用：现附上我方</w:t>
      </w:r>
      <w:r>
        <w:rPr>
          <w:rFonts w:asciiTheme="minorEastAsia" w:hAnsiTheme="minorEastAsia"/>
          <w:color w:val="auto"/>
          <w:sz w:val="24"/>
          <w:szCs w:val="24"/>
          <w:highlight w:val="none"/>
          <w:u w:val="single"/>
        </w:rPr>
        <w:t>（填写“具体的年度、或半年度、季度”）</w:t>
      </w:r>
      <w:r>
        <w:rPr>
          <w:rFonts w:asciiTheme="minorEastAsia" w:hAnsiTheme="minorEastAsia"/>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3E7E033E">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□事业单位适用：现附上我方</w:t>
      </w:r>
      <w:r>
        <w:rPr>
          <w:rFonts w:asciiTheme="minorEastAsia" w:hAnsiTheme="minorEastAsia"/>
          <w:color w:val="auto"/>
          <w:sz w:val="24"/>
          <w:szCs w:val="24"/>
          <w:highlight w:val="none"/>
          <w:u w:val="single"/>
        </w:rPr>
        <w:t>（填写“具体的年度、或半年度、或季度”）</w:t>
      </w:r>
      <w:r>
        <w:rPr>
          <w:rFonts w:asciiTheme="minorEastAsia" w:hAnsiTheme="minorEastAsia"/>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5F16986D">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□社会团体、民办非企适用：现附上我方</w:t>
      </w:r>
      <w:r>
        <w:rPr>
          <w:rFonts w:asciiTheme="minorEastAsia" w:hAnsiTheme="minorEastAsia"/>
          <w:color w:val="auto"/>
          <w:sz w:val="24"/>
          <w:szCs w:val="24"/>
          <w:highlight w:val="none"/>
          <w:u w:val="single"/>
        </w:rPr>
        <w:t>（填写“具体的年度、或半年度、或季度”）</w:t>
      </w:r>
      <w:r>
        <w:rPr>
          <w:rFonts w:asciiTheme="minorEastAsia" w:hAnsiTheme="minorEastAsia"/>
          <w:color w:val="auto"/>
          <w:sz w:val="24"/>
          <w:szCs w:val="24"/>
          <w:highlight w:val="none"/>
        </w:rPr>
        <w:t>财务报告复印件，包括资产负债表、业务活动表、现金流量表、会计师事务所营业执照和注册会计师资格证书，上述证明材料真实有效，否则我方负全部责任。</w:t>
      </w:r>
    </w:p>
    <w:p w14:paraId="34D9ECC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）投标人提供资信证明的</w:t>
      </w:r>
    </w:p>
    <w:p w14:paraId="13146581">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□非自然人适用（包括企业、事业单位、社会团体和其他组织）：现附上我方银行：</w:t>
      </w:r>
      <w:r>
        <w:rPr>
          <w:rFonts w:asciiTheme="minorEastAsia" w:hAnsiTheme="minorEastAsia"/>
          <w:color w:val="auto"/>
          <w:sz w:val="24"/>
          <w:szCs w:val="24"/>
          <w:highlight w:val="none"/>
          <w:u w:val="single"/>
        </w:rPr>
        <w:t>（填写“开户银行全称”）</w:t>
      </w:r>
      <w:r>
        <w:rPr>
          <w:rFonts w:asciiTheme="minorEastAsia" w:hAnsiTheme="minorEastAsia"/>
          <w:color w:val="auto"/>
          <w:sz w:val="24"/>
          <w:szCs w:val="24"/>
          <w:highlight w:val="none"/>
        </w:rPr>
        <w:t>出具的资信证明复印件，上述证明材料真实有效，否则我方负全部责任。</w:t>
      </w:r>
    </w:p>
    <w:p w14:paraId="094941B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□自然人适用：现附上我方银行</w:t>
      </w:r>
      <w:r>
        <w:rPr>
          <w:rFonts w:asciiTheme="minorEastAsia" w:hAnsiTheme="minorEastAsia"/>
          <w:color w:val="auto"/>
          <w:sz w:val="24"/>
          <w:szCs w:val="24"/>
          <w:highlight w:val="none"/>
          <w:u w:val="single"/>
        </w:rPr>
        <w:t>：（填写自然人的“个人账户的开户银行全称”）</w:t>
      </w:r>
      <w:r>
        <w:rPr>
          <w:rFonts w:asciiTheme="minorEastAsia" w:hAnsiTheme="minorEastAsia"/>
          <w:color w:val="auto"/>
          <w:sz w:val="24"/>
          <w:szCs w:val="24"/>
          <w:highlight w:val="none"/>
        </w:rPr>
        <w:t>出具的资信证明复印件，上述证明材料真实有效，否则我方负全部责任。</w:t>
      </w:r>
    </w:p>
    <w:p w14:paraId="516A9F85">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5900344">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1、请投标人按照实际情况编制填写，在相应的（）中打“√”并选择相应的“□”（若有）后，再按照本格式的要求提供相应证明材料的复印件。</w:t>
      </w:r>
    </w:p>
    <w:p w14:paraId="305A8C2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2、投标人提供的财务报告复印件（成立年限按照投标截止时间推算）应符合下列规定：</w:t>
      </w:r>
    </w:p>
    <w:p w14:paraId="38DEE936">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2.1成立年限满1年及以上的投标人，提供经审计的招标文件规定的年度财务报告。</w:t>
      </w:r>
    </w:p>
    <w:p w14:paraId="70B3C87C">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2.2成立年限满半年但不足1年的投标人，提供该半年度中任一季度的季度财务报告或该半年度的半年度财务报告。</w:t>
      </w:r>
    </w:p>
    <w:p w14:paraId="5D881FC0">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9B9C9AC">
      <w:pPr>
        <w:pStyle w:val="54"/>
        <w:spacing w:line="276"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0F18707D">
      <w:pPr>
        <w:pStyle w:val="54"/>
        <w:spacing w:line="276"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18AEBA3F">
      <w:pPr>
        <w:rPr>
          <w:color w:val="auto"/>
          <w:highlight w:val="none"/>
        </w:rPr>
      </w:pPr>
    </w:p>
    <w:p w14:paraId="4BE6B1DD">
      <w:pPr>
        <w:rPr>
          <w:color w:val="auto"/>
          <w:highlight w:val="none"/>
        </w:rPr>
        <w:sectPr>
          <w:pgSz w:w="11906" w:h="16838"/>
          <w:pgMar w:top="1418" w:right="1418" w:bottom="1418" w:left="1418" w:header="851" w:footer="992" w:gutter="0"/>
          <w:cols w:space="425" w:num="1"/>
          <w:docGrid w:type="lines" w:linePitch="312" w:charSpace="0"/>
        </w:sectPr>
      </w:pPr>
    </w:p>
    <w:p w14:paraId="1B2EDB7D">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依法缴纳税收证明材料</w:t>
      </w:r>
    </w:p>
    <w:p w14:paraId="0127163D">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55C8CCF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1、依法缴纳税收的投标人</w:t>
      </w:r>
    </w:p>
    <w:p w14:paraId="4F1F31D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）法人（包括企业、事业单位和社会团体）的</w:t>
      </w:r>
    </w:p>
    <w:p w14:paraId="18B9A41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469F767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）非法人（包括其他组织、自然人）的</w:t>
      </w:r>
    </w:p>
    <w:p w14:paraId="2E206D6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1F44443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2、依法免税的投标人</w:t>
      </w:r>
    </w:p>
    <w:p w14:paraId="217446A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）现附上我方依法免税的证明材料复印件，上述证明材料真实有效，否则我方负全部责任。</w:t>
      </w:r>
    </w:p>
    <w:p w14:paraId="6B76EF4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9971E1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1、请投标人按照实际情况编制填写，在相应的（）中打“√”，并按照本格式的要求提供相应证明材料的复印件。</w:t>
      </w:r>
    </w:p>
    <w:p w14:paraId="20875CA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2、投标人提供的税收缴纳凭据复印件应符合下列规定：</w:t>
      </w:r>
    </w:p>
    <w:p w14:paraId="05F37B0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14:paraId="2D7D5DA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2.2投标截止时间的当月成立的投标人，视同满足本项资格条件要求。</w:t>
      </w:r>
    </w:p>
    <w:p w14:paraId="5751A58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3、若为依法免税范围的投标人，提供依法免税证明材料的，视同满足本项资格条件要求。</w:t>
      </w:r>
    </w:p>
    <w:p w14:paraId="6DB7D581">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5273C022">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5619A76A">
      <w:pPr>
        <w:rPr>
          <w:color w:val="auto"/>
          <w:highlight w:val="none"/>
        </w:rPr>
      </w:pPr>
    </w:p>
    <w:p w14:paraId="6B5364DA">
      <w:pPr>
        <w:rPr>
          <w:color w:val="auto"/>
          <w:highlight w:val="none"/>
        </w:rPr>
        <w:sectPr>
          <w:pgSz w:w="11906" w:h="16838"/>
          <w:pgMar w:top="1418" w:right="1418" w:bottom="1418" w:left="1418" w:header="851" w:footer="992" w:gutter="0"/>
          <w:cols w:space="425" w:num="1"/>
          <w:docGrid w:type="lines" w:linePitch="312" w:charSpace="0"/>
        </w:sectPr>
      </w:pPr>
    </w:p>
    <w:p w14:paraId="5EAB60FF">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依法缴纳社会保障资金证明材料</w:t>
      </w:r>
    </w:p>
    <w:p w14:paraId="19003127">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648D6F1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1、依法缴纳社会保障资金的投标人</w:t>
      </w:r>
    </w:p>
    <w:p w14:paraId="3EA00B1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）法人（包括企业、事业单位和社会团体）的</w:t>
      </w:r>
    </w:p>
    <w:p w14:paraId="684BF24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30E606B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）非法人（包括其他组织、自然人）的</w:t>
      </w:r>
    </w:p>
    <w:p w14:paraId="6E9EBF9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3CF1DEC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2、依法不需要缴纳或暂缓缴纳社会保障资金的投标人</w:t>
      </w:r>
    </w:p>
    <w:p w14:paraId="127E3EF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）现附上我方依法不需要缴纳或暂缓缴纳社会保障资金证明材料复印件，上述证明材料真实有效，否则我方负全部责任。</w:t>
      </w:r>
    </w:p>
    <w:p w14:paraId="6012AD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7B2C4B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1、请投标人按照实际情况编制填写，在相应的（）中打“√”，并按照本格式的要求提供相应证明材料的复印件。</w:t>
      </w:r>
    </w:p>
    <w:p w14:paraId="0D27579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2、投标人提供的社会保障资金缴纳凭据复印件应符合下列规定：</w:t>
      </w:r>
    </w:p>
    <w:p w14:paraId="2CE2865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4E4F5A5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2.2投标截止时间的当月成立的投标人，视同满足本项资格条件要求。</w:t>
      </w:r>
    </w:p>
    <w:p w14:paraId="13383D1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3、若为依法不需要缴纳或暂缓缴纳社会保障资金的投标人，提供依法不需要缴纳或暂缓缴纳社会保障资金证明材料的，视同满足本项资格条件要求。</w:t>
      </w:r>
    </w:p>
    <w:p w14:paraId="0BE86458">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31C3858B">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BD52D11">
      <w:pPr>
        <w:rPr>
          <w:color w:val="auto"/>
          <w:highlight w:val="none"/>
        </w:rPr>
      </w:pPr>
    </w:p>
    <w:p w14:paraId="721B07C3">
      <w:pPr>
        <w:rPr>
          <w:color w:val="auto"/>
          <w:highlight w:val="none"/>
        </w:rPr>
        <w:sectPr>
          <w:pgSz w:w="11906" w:h="16838"/>
          <w:pgMar w:top="1418" w:right="1418" w:bottom="1418" w:left="1418" w:header="851" w:footer="992" w:gutter="0"/>
          <w:cols w:space="425" w:num="1"/>
          <w:docGrid w:type="lines" w:linePitch="312" w:charSpace="0"/>
        </w:sectPr>
      </w:pPr>
    </w:p>
    <w:p w14:paraId="733CBEFD">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具备履行合同所必需设备和专业技术能力的声明函（若有）</w:t>
      </w:r>
    </w:p>
    <w:p w14:paraId="4DBD2926">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3A41BCB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我方具备履行合同所必需的设备和专业技术能力，否则产生不利后果由我方承担责任。</w:t>
      </w:r>
    </w:p>
    <w:p w14:paraId="4F744E8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特此声明。</w:t>
      </w:r>
    </w:p>
    <w:p w14:paraId="250334C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30AA2A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1、招标文件未要求投标人提供“具备履行合同所必需的设备和专业技术能力专项证明材料”的，投标人应提供本声明函。</w:t>
      </w:r>
    </w:p>
    <w:p w14:paraId="36EFC3A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2、招标文件要求投标人提供“具备履行合同所必需的设备和专业技术能力专项证明材料”的，投标人可不提供本声明函。</w:t>
      </w:r>
    </w:p>
    <w:p w14:paraId="0388755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3、请投标人根据实际情况如实声明，否则视为提供虚假材料。</w:t>
      </w:r>
    </w:p>
    <w:p w14:paraId="4E704A2C">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BBE30CD">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CA33DBF">
      <w:pPr>
        <w:rPr>
          <w:color w:val="auto"/>
          <w:highlight w:val="none"/>
        </w:rPr>
      </w:pPr>
    </w:p>
    <w:p w14:paraId="5694BAC6">
      <w:pPr>
        <w:rPr>
          <w:color w:val="auto"/>
          <w:highlight w:val="none"/>
        </w:rPr>
        <w:sectPr>
          <w:pgSz w:w="11906" w:h="16838"/>
          <w:pgMar w:top="1418" w:right="1418" w:bottom="1418" w:left="1418" w:header="851" w:footer="992" w:gutter="0"/>
          <w:cols w:space="425" w:num="1"/>
          <w:docGrid w:type="lines" w:linePitch="312" w:charSpace="0"/>
        </w:sectPr>
      </w:pPr>
    </w:p>
    <w:p w14:paraId="000F998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参加采购活动前三年内在经营活动中没有重大违法记录书面声明</w:t>
      </w:r>
    </w:p>
    <w:p w14:paraId="01EB7AFF">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77BA894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623D1F4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特此声明。</w:t>
      </w:r>
    </w:p>
    <w:p w14:paraId="64B8AF7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961E67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3280D0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请投标人根据实际情况如实声明，否则视为提供虚假材料。</w:t>
      </w:r>
    </w:p>
    <w:p w14:paraId="30E8EFB5">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08C16F90">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1C7A7B45">
      <w:pPr>
        <w:rPr>
          <w:color w:val="auto"/>
          <w:highlight w:val="none"/>
        </w:rPr>
      </w:pPr>
    </w:p>
    <w:p w14:paraId="019F1289">
      <w:pPr>
        <w:rPr>
          <w:color w:val="auto"/>
          <w:highlight w:val="none"/>
        </w:rPr>
        <w:sectPr>
          <w:pgSz w:w="11906" w:h="16838"/>
          <w:pgMar w:top="1418" w:right="1418" w:bottom="1418" w:left="1418" w:header="851" w:footer="992" w:gutter="0"/>
          <w:cols w:space="425" w:num="1"/>
          <w:docGrid w:type="lines" w:linePitch="312" w:charSpace="0"/>
        </w:sectPr>
      </w:pPr>
    </w:p>
    <w:p w14:paraId="22068DE4">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二-3信用记录查询提示</w:t>
      </w:r>
    </w:p>
    <w:p w14:paraId="0F35F67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1、由资格审查小组通过网站查询并打印投标人的信用记录。</w:t>
      </w:r>
    </w:p>
    <w:p w14:paraId="383A59B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经查询，投标人参加本项目采购活动（投标截止时间）前三年内被列入失信被执行人名单、重大税收违法失信主体名单、政府采购严重违法失信行为记录名单及其他重大违法记录且相关信用惩戒期限未满的，其资格审查不合格。</w:t>
      </w:r>
    </w:p>
    <w:p w14:paraId="72A3A8C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DBBA638">
      <w:pPr>
        <w:rPr>
          <w:color w:val="auto"/>
          <w:highlight w:val="none"/>
        </w:rPr>
      </w:pPr>
    </w:p>
    <w:p w14:paraId="3EA0FD48">
      <w:pPr>
        <w:rPr>
          <w:color w:val="auto"/>
          <w:highlight w:val="none"/>
        </w:rPr>
        <w:sectPr>
          <w:pgSz w:w="11906" w:h="16838"/>
          <w:pgMar w:top="1418" w:right="1418" w:bottom="1418" w:left="1418" w:header="851" w:footer="992" w:gutter="0"/>
          <w:cols w:space="425" w:num="1"/>
          <w:docGrid w:type="lines" w:linePitch="312" w:charSpace="0"/>
        </w:sectPr>
      </w:pPr>
    </w:p>
    <w:p w14:paraId="1A2EE155">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二-4中小企业声明函</w:t>
      </w:r>
    </w:p>
    <w:p w14:paraId="46EAE64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（以资格条件落实中小企业扶持政策时适用，若有）</w:t>
      </w:r>
    </w:p>
    <w:p w14:paraId="34E8F754">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中小企业声明函（货物）</w:t>
      </w:r>
    </w:p>
    <w:p w14:paraId="4E52AA5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采购活动，提供的货物全部由符合政策要求的中小企业制造。相关企业（含联合体中的中小企业、签订分包意向协议的中小企业）的具体情况如下：</w:t>
      </w:r>
    </w:p>
    <w:p w14:paraId="1D8FDB2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万元¹，属于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3A783F6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0E88874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1B03E6C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738F2EC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07CA35B5">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13321E8">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F443D7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53EBFB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62970C9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8B44A8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16635B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中小企业声明函（工程、服务）</w:t>
      </w:r>
    </w:p>
    <w:p w14:paraId="3AA9DD3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2F46F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万元¹，属于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17BB062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58ED62B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45A3B2F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7209463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70825C9B">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66D104BC">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77DB02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0E77497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54E8CC3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1DC800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180E0C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残疾人福利性单位声明函</w:t>
      </w:r>
    </w:p>
    <w:p w14:paraId="05064B1F">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（以资格条件落实中小企业扶持政策时适用，若有）</w:t>
      </w:r>
    </w:p>
    <w:p w14:paraId="357EB3C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03D2E6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87F488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）由本投标人承建的（填写“所投采购包、品目号”）工程</w:t>
      </w:r>
    </w:p>
    <w:p w14:paraId="62783A7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）由本投标人承接的（填写“所投采购包、品目号”）服务；</w:t>
      </w:r>
    </w:p>
    <w:p w14:paraId="3CF04CA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本投标人对上述声明的真实性负责。如有虚假，将依法承担相应责任。</w:t>
      </w:r>
    </w:p>
    <w:p w14:paraId="61713B1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p w14:paraId="0DD5AB5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1、请投标人按照实际情况编制填写本声明函，并在相应的（）中打“√”。</w:t>
      </w:r>
    </w:p>
    <w:p w14:paraId="282964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2、若《残疾人福利性单位声明函》内容不真实，视为提供虚假材料。</w:t>
      </w:r>
    </w:p>
    <w:p w14:paraId="4C2FDD69">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2EF38F23">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6EB50E8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05CBA4F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监狱企业证明材料</w:t>
      </w:r>
    </w:p>
    <w:p w14:paraId="18A2563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5374DB41">
      <w:pPr>
        <w:rPr>
          <w:color w:val="auto"/>
          <w:highlight w:val="none"/>
        </w:rPr>
        <w:sectPr>
          <w:pgSz w:w="11906" w:h="16838"/>
          <w:pgMar w:top="1418" w:right="1418" w:bottom="1418" w:left="1418" w:header="851" w:footer="992" w:gutter="0"/>
          <w:cols w:space="425" w:num="1"/>
          <w:docGrid w:type="lines" w:linePitch="312" w:charSpace="0"/>
        </w:sectPr>
      </w:pPr>
    </w:p>
    <w:p w14:paraId="6BF898E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二-5联合体协议（若有）</w:t>
      </w:r>
    </w:p>
    <w:p w14:paraId="16F28073">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5CDE1AF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兹有</w:t>
      </w:r>
      <w:r>
        <w:rPr>
          <w:rFonts w:asciiTheme="minorEastAsia" w:hAnsiTheme="minorEastAsia"/>
          <w:color w:val="auto"/>
          <w:sz w:val="24"/>
          <w:szCs w:val="24"/>
          <w:highlight w:val="none"/>
          <w:u w:val="single"/>
        </w:rPr>
        <w:t>（填写“联合体中各方的全称”，各方的全称之间请用“、”分割）</w:t>
      </w:r>
      <w:r>
        <w:rPr>
          <w:rFonts w:asciiTheme="minorEastAsia" w:hAnsiTheme="minorEastAsia"/>
          <w:color w:val="auto"/>
          <w:sz w:val="24"/>
          <w:szCs w:val="24"/>
          <w:highlight w:val="none"/>
        </w:rPr>
        <w:t>自愿组成联合体，共同参加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 xml:space="preserve"> 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）的投标。现就联合体参加本项目投标的有关事宜达成下列协议：</w:t>
      </w:r>
    </w:p>
    <w:p w14:paraId="28D6829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一、联合体各方应承担的工作和义务具体如下：</w:t>
      </w:r>
    </w:p>
    <w:p w14:paraId="2E89B3E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1、牵头方（全称）：</w:t>
      </w:r>
      <w:r>
        <w:rPr>
          <w:rFonts w:asciiTheme="minorEastAsia" w:hAnsiTheme="minorEastAsia"/>
          <w:color w:val="auto"/>
          <w:sz w:val="24"/>
          <w:szCs w:val="24"/>
          <w:highlight w:val="none"/>
          <w:u w:val="single"/>
        </w:rPr>
        <w:t xml:space="preserve">（填写“工作及义务的具体内容”） </w:t>
      </w:r>
      <w:r>
        <w:rPr>
          <w:rFonts w:asciiTheme="minorEastAsia" w:hAnsiTheme="minorEastAsia"/>
          <w:color w:val="auto"/>
          <w:sz w:val="24"/>
          <w:szCs w:val="24"/>
          <w:highlight w:val="none"/>
        </w:rPr>
        <w:t>；</w:t>
      </w:r>
    </w:p>
    <w:p w14:paraId="68F9EEB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2、成员方：</w:t>
      </w:r>
    </w:p>
    <w:p w14:paraId="553083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2.1（成员一的全称）：</w:t>
      </w:r>
      <w:r>
        <w:rPr>
          <w:rFonts w:asciiTheme="minorEastAsia" w:hAnsiTheme="minorEastAsia"/>
          <w:color w:val="auto"/>
          <w:sz w:val="24"/>
          <w:szCs w:val="24"/>
          <w:highlight w:val="none"/>
          <w:u w:val="single"/>
        </w:rPr>
        <w:t>（填写“工作及义务的具体内容”）</w:t>
      </w:r>
      <w:r>
        <w:rPr>
          <w:rFonts w:asciiTheme="minorEastAsia" w:hAnsiTheme="minorEastAsia"/>
          <w:color w:val="auto"/>
          <w:sz w:val="24"/>
          <w:szCs w:val="24"/>
          <w:highlight w:val="none"/>
        </w:rPr>
        <w:t xml:space="preserve"> ；</w:t>
      </w:r>
    </w:p>
    <w:p w14:paraId="059AA94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6192533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二、联合体各方的合同金额占比，具体如下：</w:t>
      </w:r>
    </w:p>
    <w:p w14:paraId="54B39A7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1.牵头方（</w:t>
      </w:r>
      <w:r>
        <w:rPr>
          <w:rFonts w:asciiTheme="minorEastAsia" w:hAnsiTheme="minorEastAsia"/>
          <w:color w:val="auto"/>
          <w:sz w:val="24"/>
          <w:szCs w:val="24"/>
          <w:highlight w:val="none"/>
          <w:u w:val="single"/>
        </w:rPr>
        <w:t xml:space="preserve"> 全称</w:t>
      </w:r>
      <w:r>
        <w:rPr>
          <w:rFonts w:asciiTheme="minorEastAsia" w:hAnsiTheme="minorEastAsia"/>
          <w:color w:val="auto"/>
          <w:sz w:val="24"/>
          <w:szCs w:val="24"/>
          <w:highlight w:val="none"/>
        </w:rPr>
        <w:t xml:space="preserve"> ）的合同金额占合同总额的</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200F21A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2.成员方：</w:t>
      </w:r>
    </w:p>
    <w:p w14:paraId="44FF0C7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w:t>
      </w:r>
      <w:r>
        <w:rPr>
          <w:rFonts w:asciiTheme="minorEastAsia" w:hAnsiTheme="minorEastAsia"/>
          <w:color w:val="auto"/>
          <w:sz w:val="24"/>
          <w:szCs w:val="24"/>
          <w:highlight w:val="none"/>
          <w:u w:val="single"/>
        </w:rPr>
        <w:t xml:space="preserve"> 成员1的全称 </w:t>
      </w:r>
      <w:r>
        <w:rPr>
          <w:rFonts w:asciiTheme="minorEastAsia" w:hAnsiTheme="minorEastAsia"/>
          <w:color w:val="auto"/>
          <w:sz w:val="24"/>
          <w:szCs w:val="24"/>
          <w:highlight w:val="none"/>
        </w:rPr>
        <w:t>）的合同金额占合同总额的</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516FE81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0A9EDAD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三、联合体各方约定：</w:t>
      </w:r>
    </w:p>
    <w:p w14:paraId="39ACB14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1、由</w:t>
      </w:r>
      <w:r>
        <w:rPr>
          <w:rFonts w:asciiTheme="minorEastAsia" w:hAnsiTheme="minorEastAsia"/>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8D42A0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2、联合体各方约定由</w:t>
      </w:r>
      <w:r>
        <w:rPr>
          <w:rFonts w:asciiTheme="minorEastAsia" w:hAnsiTheme="minorEastAsia"/>
          <w:color w:val="auto"/>
          <w:sz w:val="24"/>
          <w:szCs w:val="24"/>
          <w:highlight w:val="none"/>
          <w:u w:val="single"/>
        </w:rPr>
        <w:t>（填写“牵头方的全称”）代表联合体办理投标保证金事宜。</w:t>
      </w:r>
    </w:p>
    <w:p w14:paraId="262B90E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E9EFCD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BB4FC4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五、本协议自签署之日起生效，政府采购合同履行完毕后自动失效。</w:t>
      </w:r>
    </w:p>
    <w:p w14:paraId="274049C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六、本协议一式</w:t>
      </w:r>
      <w:r>
        <w:rPr>
          <w:rFonts w:asciiTheme="minorEastAsia" w:hAnsiTheme="minorEastAsia"/>
          <w:color w:val="auto"/>
          <w:sz w:val="24"/>
          <w:szCs w:val="24"/>
          <w:highlight w:val="none"/>
          <w:u w:val="single"/>
        </w:rPr>
        <w:t>（填写具体份数）</w:t>
      </w:r>
      <w:r>
        <w:rPr>
          <w:rFonts w:asciiTheme="minorEastAsia" w:hAnsiTheme="minorEastAsia"/>
          <w:color w:val="auto"/>
          <w:sz w:val="24"/>
          <w:szCs w:val="24"/>
          <w:highlight w:val="none"/>
        </w:rPr>
        <w:t>份，联合体各方各执一份，电子投标文件中提交一份。</w:t>
      </w:r>
    </w:p>
    <w:p w14:paraId="0E2BACA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（以下无正文）</w:t>
      </w:r>
    </w:p>
    <w:p w14:paraId="26028DA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牵头方：</w:t>
      </w:r>
      <w:r>
        <w:rPr>
          <w:rFonts w:asciiTheme="minorEastAsia" w:hAnsiTheme="minorEastAsia"/>
          <w:color w:val="auto"/>
          <w:sz w:val="24"/>
          <w:szCs w:val="24"/>
          <w:highlight w:val="none"/>
          <w:u w:val="single"/>
        </w:rPr>
        <w:t>（全称并加盖单位公章）</w:t>
      </w:r>
    </w:p>
    <w:p w14:paraId="5132F8D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66A3EBC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成员一：</w:t>
      </w:r>
      <w:r>
        <w:rPr>
          <w:rFonts w:asciiTheme="minorEastAsia" w:hAnsiTheme="minorEastAsia"/>
          <w:color w:val="auto"/>
          <w:sz w:val="24"/>
          <w:szCs w:val="24"/>
          <w:highlight w:val="none"/>
          <w:u w:val="single"/>
        </w:rPr>
        <w:t>（全称并加盖成员一的单位公章）</w:t>
      </w:r>
    </w:p>
    <w:p w14:paraId="7D97499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4B1251C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4D74664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成员**：</w:t>
      </w:r>
      <w:r>
        <w:rPr>
          <w:rFonts w:asciiTheme="minorEastAsia" w:hAnsiTheme="minorEastAsia"/>
          <w:color w:val="auto"/>
          <w:sz w:val="24"/>
          <w:szCs w:val="24"/>
          <w:highlight w:val="none"/>
          <w:u w:val="single"/>
        </w:rPr>
        <w:t>（全称并加盖成员**的单位公章）</w:t>
      </w:r>
    </w:p>
    <w:p w14:paraId="78EDCDE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6F452196">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签署日期：</w:t>
      </w:r>
      <w:r>
        <w:rPr>
          <w:rFonts w:asciiTheme="minorEastAsia" w:hAnsiTheme="minorEastAsia"/>
          <w:color w:val="auto"/>
          <w:sz w:val="24"/>
          <w:szCs w:val="24"/>
          <w:highlight w:val="none"/>
          <w:u w:val="single"/>
        </w:rPr>
        <w:t>　　年　　月　　日</w:t>
      </w:r>
    </w:p>
    <w:p w14:paraId="4899B6D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236EE46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1、招标文件接受联合体投标且投标人为联合体的，投标人应提供本协议；否则无须提供。</w:t>
      </w:r>
    </w:p>
    <w:p w14:paraId="6F3B475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2、本协议由委托代理人签字或盖章的，应按照本章载明的格式提供“单位授权书”。</w:t>
      </w:r>
    </w:p>
    <w:p w14:paraId="5E14AC1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3、在以联合体形式落实中小企业预留份额项目中，投标人除了要提供《中小企业声明函》，还需提供本协议。</w:t>
      </w:r>
    </w:p>
    <w:p w14:paraId="46AC75D7">
      <w:pPr>
        <w:rPr>
          <w:color w:val="auto"/>
          <w:highlight w:val="none"/>
        </w:rPr>
      </w:pPr>
    </w:p>
    <w:p w14:paraId="3E046D53">
      <w:pPr>
        <w:rPr>
          <w:color w:val="auto"/>
          <w:highlight w:val="none"/>
        </w:rPr>
        <w:sectPr>
          <w:pgSz w:w="11906" w:h="16838"/>
          <w:pgMar w:top="1418" w:right="1418" w:bottom="1418" w:left="1418" w:header="851" w:footer="992" w:gutter="0"/>
          <w:cols w:space="425" w:num="1"/>
          <w:docGrid w:type="lines" w:linePitch="312" w:charSpace="0"/>
        </w:sectPr>
      </w:pPr>
    </w:p>
    <w:p w14:paraId="3CE7D50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二-6分包意向协议（若有）</w:t>
      </w:r>
    </w:p>
    <w:p w14:paraId="218CFA4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甲方（总包方）：</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（即本项目的投标人）</w:t>
      </w:r>
    </w:p>
    <w:p w14:paraId="1821E6F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乙方（分包方）：</w:t>
      </w:r>
      <w:r>
        <w:rPr>
          <w:rFonts w:asciiTheme="minorEastAsia" w:hAnsiTheme="minorEastAsia"/>
          <w:color w:val="auto"/>
          <w:sz w:val="24"/>
          <w:szCs w:val="24"/>
          <w:highlight w:val="none"/>
          <w:u w:val="single"/>
        </w:rPr>
        <w:t>　　　　　　　</w:t>
      </w:r>
    </w:p>
    <w:p w14:paraId="437AC95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兹有甲方参加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 xml:space="preserve"> 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2E33A03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一、分包标的</w:t>
      </w:r>
    </w:p>
    <w:p w14:paraId="6D90BE8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u w:val="single"/>
        </w:rPr>
        <w:t>（根据双方的意向填写，可以是表格或文字描述）。</w:t>
      </w:r>
    </w:p>
    <w:p w14:paraId="2E50441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二、分包合同金额占比</w:t>
      </w:r>
    </w:p>
    <w:p w14:paraId="0A3BCDE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分包合同价占投标总价的比例：</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17168B4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三、其他条款</w:t>
      </w:r>
    </w:p>
    <w:p w14:paraId="1C9DCEE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FB96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C22A7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甲方：</w:t>
            </w:r>
          </w:p>
        </w:tc>
        <w:tc>
          <w:tcPr>
            <w:tcW w:w="4153" w:type="dxa"/>
          </w:tcPr>
          <w:p w14:paraId="41C5AA5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乙方：</w:t>
            </w:r>
          </w:p>
        </w:tc>
      </w:tr>
      <w:tr w14:paraId="36A50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7C431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住所：</w:t>
            </w:r>
          </w:p>
        </w:tc>
        <w:tc>
          <w:tcPr>
            <w:tcW w:w="4153" w:type="dxa"/>
          </w:tcPr>
          <w:p w14:paraId="5BB624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住所：</w:t>
            </w:r>
          </w:p>
        </w:tc>
      </w:tr>
      <w:tr w14:paraId="1F275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AC42F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单位负责人或委托代理人：</w:t>
            </w:r>
          </w:p>
        </w:tc>
        <w:tc>
          <w:tcPr>
            <w:tcW w:w="4153" w:type="dxa"/>
          </w:tcPr>
          <w:p w14:paraId="41B3E5F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单位负责人或委托代理人：</w:t>
            </w:r>
          </w:p>
        </w:tc>
      </w:tr>
      <w:tr w14:paraId="70361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46E2F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w:t>
            </w:r>
          </w:p>
        </w:tc>
        <w:tc>
          <w:tcPr>
            <w:tcW w:w="4153" w:type="dxa"/>
          </w:tcPr>
          <w:p w14:paraId="000F942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w:t>
            </w:r>
          </w:p>
        </w:tc>
      </w:tr>
      <w:tr w14:paraId="60EAA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020F9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w:t>
            </w:r>
          </w:p>
        </w:tc>
        <w:tc>
          <w:tcPr>
            <w:tcW w:w="4153" w:type="dxa"/>
          </w:tcPr>
          <w:p w14:paraId="04E77CB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w:t>
            </w:r>
          </w:p>
        </w:tc>
      </w:tr>
      <w:tr w14:paraId="7DC1B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83AE72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账号：</w:t>
            </w:r>
          </w:p>
        </w:tc>
        <w:tc>
          <w:tcPr>
            <w:tcW w:w="4153" w:type="dxa"/>
          </w:tcPr>
          <w:p w14:paraId="61B681F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账号：</w:t>
            </w:r>
          </w:p>
        </w:tc>
      </w:tr>
      <w:tr w14:paraId="5DEAB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291C0F4">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签订地点：</w:t>
            </w:r>
            <w:r>
              <w:rPr>
                <w:rFonts w:asciiTheme="minorEastAsia" w:hAnsiTheme="minorEastAsia"/>
                <w:color w:val="auto"/>
                <w:sz w:val="24"/>
                <w:szCs w:val="24"/>
                <w:highlight w:val="none"/>
                <w:u w:val="single"/>
              </w:rPr>
              <w:t>　　　　　　　　　　</w:t>
            </w:r>
          </w:p>
          <w:p w14:paraId="45071B8A">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签约日期：</w:t>
            </w:r>
            <w:r>
              <w:rPr>
                <w:rFonts w:asciiTheme="minorEastAsia" w:hAnsiTheme="minorEastAsia"/>
                <w:color w:val="auto"/>
                <w:sz w:val="24"/>
                <w:szCs w:val="24"/>
                <w:highlight w:val="none"/>
                <w:u w:val="single"/>
              </w:rPr>
              <w:t>　　年　　月　　日</w:t>
            </w:r>
          </w:p>
        </w:tc>
      </w:tr>
    </w:tbl>
    <w:p w14:paraId="3AADC99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10FA0D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1.招标文件接受合同分包且投标人拟将合同分包的，应提供本协议；否则无须提供。</w:t>
      </w:r>
    </w:p>
    <w:p w14:paraId="2F90A28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2.本协议由委托代理人签字或盖章的，应按照本章载明的格式提供“单位授权书”。</w:t>
      </w:r>
    </w:p>
    <w:p w14:paraId="658174C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3.在以合同分包形式落实中小企业预留份额项目中，投标人除了要提供《中小企业声明函》，还需提供本协议。</w:t>
      </w:r>
    </w:p>
    <w:p w14:paraId="02E7A116">
      <w:pPr>
        <w:rPr>
          <w:color w:val="auto"/>
          <w:highlight w:val="none"/>
        </w:rPr>
      </w:pPr>
    </w:p>
    <w:p w14:paraId="754B8134">
      <w:pPr>
        <w:rPr>
          <w:color w:val="auto"/>
          <w:highlight w:val="none"/>
        </w:rPr>
        <w:sectPr>
          <w:pgSz w:w="11906" w:h="16838"/>
          <w:pgMar w:top="1418" w:right="1418" w:bottom="1418" w:left="1418" w:header="851" w:footer="992" w:gutter="0"/>
          <w:cols w:space="425" w:num="1"/>
          <w:docGrid w:type="lines" w:linePitch="312" w:charSpace="0"/>
        </w:sectPr>
      </w:pPr>
    </w:p>
    <w:p w14:paraId="536DBD6E">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二-7其他资格证明文件（若有）</w:t>
      </w:r>
    </w:p>
    <w:p w14:paraId="2D7EC8C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二-7-①招标文件规定的其他资格证明文件（若有）</w:t>
      </w:r>
    </w:p>
    <w:p w14:paraId="2D85C0D3">
      <w:pPr>
        <w:pStyle w:val="54"/>
        <w:spacing w:line="360" w:lineRule="auto"/>
        <w:ind w:firstLine="480" w:firstLineChars="200"/>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470723F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除招标文件另有规定外，招标文件要求提交的除前述资格证明文件外的其他资格证明文件（若有）加盖投标人的单位公章后应在此项下提交。</w:t>
      </w:r>
    </w:p>
    <w:p w14:paraId="520C2081">
      <w:pPr>
        <w:spacing w:beforeLines="50" w:afterLines="50"/>
        <w:jc w:val="center"/>
        <w:rPr>
          <w:rFonts w:asciiTheme="minorEastAsia" w:hAnsiTheme="minorEastAsia"/>
          <w:b/>
          <w:color w:val="auto"/>
          <w:sz w:val="28"/>
          <w:szCs w:val="28"/>
          <w:highlight w:val="none"/>
        </w:rPr>
      </w:pPr>
    </w:p>
    <w:p w14:paraId="2BDBAF2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三、投标保证金</w:t>
      </w:r>
    </w:p>
    <w:p w14:paraId="7841D83F">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68E5306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1、在此项下提交的“投标保证金”材料可使用转账凭证复印件或从福建省政府采购网上公开信息系统中下载的有关原始页面的打印件。</w:t>
      </w:r>
    </w:p>
    <w:p w14:paraId="271C72F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2、投标保证金是否已提交的认定按照招标文件第三章规定执行。</w:t>
      </w:r>
    </w:p>
    <w:p w14:paraId="14A4EDB5">
      <w:pPr>
        <w:rPr>
          <w:color w:val="auto"/>
          <w:highlight w:val="none"/>
        </w:rPr>
      </w:pPr>
    </w:p>
    <w:p w14:paraId="26C67077">
      <w:pPr>
        <w:rPr>
          <w:color w:val="auto"/>
          <w:highlight w:val="none"/>
        </w:rPr>
        <w:sectPr>
          <w:pgSz w:w="11906" w:h="16838"/>
          <w:pgMar w:top="1418" w:right="1418" w:bottom="1418" w:left="1418" w:header="851" w:footer="992" w:gutter="0"/>
          <w:cols w:space="425" w:num="1"/>
          <w:docGrid w:type="lines" w:linePitch="312" w:charSpace="0"/>
        </w:sectPr>
      </w:pPr>
    </w:p>
    <w:p w14:paraId="6FFF47CC">
      <w:pPr>
        <w:spacing w:beforeLines="50" w:afterLines="50"/>
        <w:jc w:val="center"/>
        <w:rPr>
          <w:b/>
          <w:color w:val="auto"/>
          <w:sz w:val="28"/>
          <w:szCs w:val="28"/>
          <w:highlight w:val="none"/>
        </w:rPr>
      </w:pPr>
      <w:r>
        <w:rPr>
          <w:b/>
          <w:color w:val="auto"/>
          <w:sz w:val="28"/>
          <w:szCs w:val="28"/>
          <w:highlight w:val="none"/>
        </w:rPr>
        <w:t>封面格式（</w:t>
      </w:r>
      <w:r>
        <w:rPr>
          <w:rFonts w:hint="eastAsia"/>
          <w:b/>
          <w:color w:val="auto"/>
          <w:sz w:val="28"/>
          <w:szCs w:val="28"/>
          <w:highlight w:val="none"/>
        </w:rPr>
        <w:t>报价</w:t>
      </w:r>
      <w:r>
        <w:rPr>
          <w:b/>
          <w:color w:val="auto"/>
          <w:sz w:val="28"/>
          <w:szCs w:val="28"/>
          <w:highlight w:val="none"/>
        </w:rPr>
        <w:t>部分）</w:t>
      </w:r>
    </w:p>
    <w:p w14:paraId="6F1F968F">
      <w:pPr>
        <w:jc w:val="center"/>
        <w:rPr>
          <w:rFonts w:ascii="宋体" w:hAnsi="宋体" w:eastAsia="宋体"/>
          <w:b/>
          <w:color w:val="auto"/>
          <w:sz w:val="32"/>
          <w:szCs w:val="32"/>
          <w:highlight w:val="none"/>
        </w:rPr>
      </w:pPr>
    </w:p>
    <w:p w14:paraId="607243BA">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7A2B5E0C">
      <w:pPr>
        <w:jc w:val="center"/>
        <w:rPr>
          <w:rFonts w:ascii="宋体" w:hAnsi="宋体" w:eastAsia="宋体"/>
          <w:b/>
          <w:color w:val="auto"/>
          <w:sz w:val="32"/>
          <w:szCs w:val="32"/>
          <w:highlight w:val="none"/>
        </w:rPr>
      </w:pPr>
      <w:r>
        <w:rPr>
          <w:rFonts w:ascii="宋体" w:hAnsi="宋体" w:eastAsia="宋体"/>
          <w:b/>
          <w:color w:val="auto"/>
          <w:sz w:val="32"/>
          <w:szCs w:val="32"/>
          <w:highlight w:val="none"/>
        </w:rPr>
        <w:t>（</w:t>
      </w:r>
      <w:r>
        <w:rPr>
          <w:rFonts w:hint="eastAsia" w:ascii="宋体" w:hAnsi="宋体" w:eastAsia="宋体"/>
          <w:b/>
          <w:color w:val="auto"/>
          <w:sz w:val="32"/>
          <w:szCs w:val="32"/>
          <w:highlight w:val="none"/>
        </w:rPr>
        <w:t>报价</w:t>
      </w:r>
      <w:r>
        <w:rPr>
          <w:rFonts w:ascii="宋体" w:hAnsi="宋体" w:eastAsia="宋体"/>
          <w:b/>
          <w:color w:val="auto"/>
          <w:sz w:val="32"/>
          <w:szCs w:val="32"/>
          <w:highlight w:val="none"/>
        </w:rPr>
        <w:t>部分）</w:t>
      </w:r>
    </w:p>
    <w:p w14:paraId="51AFA2A6">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19575C4A">
      <w:pPr>
        <w:jc w:val="center"/>
        <w:rPr>
          <w:rFonts w:ascii="宋体" w:hAnsi="宋体" w:eastAsia="宋体"/>
          <w:b/>
          <w:color w:val="auto"/>
          <w:sz w:val="32"/>
          <w:szCs w:val="32"/>
          <w:highlight w:val="none"/>
        </w:rPr>
      </w:pPr>
    </w:p>
    <w:p w14:paraId="1310EA3C">
      <w:pPr>
        <w:jc w:val="center"/>
        <w:rPr>
          <w:rFonts w:ascii="宋体" w:hAnsi="宋体" w:eastAsia="宋体"/>
          <w:b/>
          <w:color w:val="auto"/>
          <w:sz w:val="32"/>
          <w:szCs w:val="32"/>
          <w:highlight w:val="none"/>
        </w:rPr>
      </w:pPr>
    </w:p>
    <w:p w14:paraId="0B9A63A8">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6E8F25DB">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2C027485">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52AB73CE">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1C999724">
      <w:pPr>
        <w:jc w:val="center"/>
        <w:rPr>
          <w:rFonts w:ascii="宋体" w:hAnsi="宋体" w:eastAsia="宋体"/>
          <w:b/>
          <w:color w:val="auto"/>
          <w:sz w:val="32"/>
          <w:szCs w:val="32"/>
          <w:highlight w:val="none"/>
        </w:rPr>
      </w:pPr>
    </w:p>
    <w:p w14:paraId="586B6918">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22EC8947">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151515E9">
      <w:pPr>
        <w:rPr>
          <w:color w:val="auto"/>
          <w:highlight w:val="none"/>
        </w:rPr>
      </w:pPr>
    </w:p>
    <w:p w14:paraId="786C9716">
      <w:pPr>
        <w:rPr>
          <w:color w:val="auto"/>
          <w:highlight w:val="none"/>
        </w:rPr>
        <w:sectPr>
          <w:pgSz w:w="11906" w:h="16838"/>
          <w:pgMar w:top="1418" w:right="1418" w:bottom="1418" w:left="1418" w:header="851" w:footer="992" w:gutter="0"/>
          <w:cols w:space="425" w:num="1"/>
          <w:docGrid w:type="lines" w:linePitch="312" w:charSpace="0"/>
        </w:sectPr>
      </w:pPr>
    </w:p>
    <w:p w14:paraId="7BA5226E">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索引</w:t>
      </w:r>
    </w:p>
    <w:p w14:paraId="05585A8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一、开标（报价）一览表</w:t>
      </w:r>
    </w:p>
    <w:p w14:paraId="4380F65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二、投标（响应）报价明细表</w:t>
      </w:r>
    </w:p>
    <w:p w14:paraId="6ECBC7C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三、招标文件规定的价格扣除证明材料（若有）</w:t>
      </w:r>
    </w:p>
    <w:p w14:paraId="0D525EF8">
      <w:pPr>
        <w:rPr>
          <w:color w:val="auto"/>
          <w:highlight w:val="none"/>
        </w:rPr>
      </w:pPr>
    </w:p>
    <w:p w14:paraId="447EEF12">
      <w:pPr>
        <w:rPr>
          <w:color w:val="auto"/>
          <w:highlight w:val="none"/>
        </w:rPr>
        <w:sectPr>
          <w:pgSz w:w="11906" w:h="16838"/>
          <w:pgMar w:top="1418" w:right="1418" w:bottom="1418" w:left="1418" w:header="851" w:footer="992" w:gutter="0"/>
          <w:cols w:space="425" w:num="1"/>
          <w:docGrid w:type="lines" w:linePitch="312" w:charSpace="0"/>
        </w:sectPr>
      </w:pPr>
    </w:p>
    <w:p w14:paraId="6353C9C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开标（报价）一览表</w:t>
      </w:r>
    </w:p>
    <w:p w14:paraId="1E22B44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公司名称：</w:t>
      </w:r>
    </w:p>
    <w:p w14:paraId="47BF1A0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包号：1</w:t>
      </w:r>
    </w:p>
    <w:p w14:paraId="2020796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p>
    <w:p w14:paraId="2158983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项目名称：</w:t>
      </w:r>
      <w:r>
        <w:rPr>
          <w:rFonts w:hint="default" w:asciiTheme="minorEastAsia" w:hAnsiTheme="minorEastAsia"/>
          <w:color w:val="auto"/>
          <w:sz w:val="24"/>
          <w:szCs w:val="24"/>
          <w:highlight w:val="none"/>
        </w:rPr>
        <w:t xml:space="preserve"> </w:t>
      </w:r>
    </w:p>
    <w:p w14:paraId="3ED36C41">
      <w:pPr>
        <w:rPr>
          <w:color w:val="auto"/>
          <w:highlight w:val="none"/>
        </w:rPr>
      </w:pP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2286"/>
        <w:gridCol w:w="1661"/>
        <w:gridCol w:w="1661"/>
        <w:gridCol w:w="1661"/>
      </w:tblGrid>
      <w:tr w14:paraId="28694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18D0CBDC">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286" w:type="dxa"/>
            <w:vAlign w:val="center"/>
          </w:tcPr>
          <w:p w14:paraId="1151F048">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报价内容</w:t>
            </w:r>
          </w:p>
        </w:tc>
        <w:tc>
          <w:tcPr>
            <w:tcW w:w="1661" w:type="dxa"/>
            <w:vAlign w:val="center"/>
          </w:tcPr>
          <w:p w14:paraId="216CC7B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最高限价</w:t>
            </w:r>
          </w:p>
        </w:tc>
        <w:tc>
          <w:tcPr>
            <w:tcW w:w="1661" w:type="dxa"/>
            <w:vAlign w:val="center"/>
          </w:tcPr>
          <w:p w14:paraId="69A51232">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响应报价</w:t>
            </w:r>
          </w:p>
        </w:tc>
        <w:tc>
          <w:tcPr>
            <w:tcW w:w="1661" w:type="dxa"/>
            <w:vAlign w:val="center"/>
          </w:tcPr>
          <w:p w14:paraId="05994774">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价款形式</w:t>
            </w:r>
          </w:p>
        </w:tc>
      </w:tr>
      <w:tr w14:paraId="4ED38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25C7E573">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286" w:type="dxa"/>
            <w:vAlign w:val="center"/>
          </w:tcPr>
          <w:p w14:paraId="08D08E66">
            <w:pPr>
              <w:pStyle w:val="54"/>
              <w:spacing w:line="360" w:lineRule="auto"/>
              <w:jc w:val="center"/>
              <w:rPr>
                <w:rFonts w:hint="default" w:asciiTheme="minorEastAsia" w:hAnsiTheme="minorEastAsia"/>
                <w:color w:val="auto"/>
                <w:sz w:val="24"/>
                <w:szCs w:val="24"/>
                <w:highlight w:val="none"/>
              </w:rPr>
            </w:pPr>
          </w:p>
        </w:tc>
        <w:tc>
          <w:tcPr>
            <w:tcW w:w="1661" w:type="dxa"/>
            <w:vAlign w:val="center"/>
          </w:tcPr>
          <w:p w14:paraId="234E825E">
            <w:pPr>
              <w:pStyle w:val="54"/>
              <w:spacing w:line="360" w:lineRule="auto"/>
              <w:jc w:val="center"/>
              <w:rPr>
                <w:rFonts w:hint="default" w:asciiTheme="minorEastAsia" w:hAnsiTheme="minorEastAsia"/>
                <w:color w:val="auto"/>
                <w:sz w:val="24"/>
                <w:szCs w:val="24"/>
                <w:highlight w:val="none"/>
              </w:rPr>
            </w:pPr>
          </w:p>
        </w:tc>
        <w:tc>
          <w:tcPr>
            <w:tcW w:w="1661" w:type="dxa"/>
            <w:vAlign w:val="center"/>
          </w:tcPr>
          <w:p w14:paraId="4EBF6E8B">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「汇总引用」  元</w:t>
            </w:r>
          </w:p>
        </w:tc>
        <w:tc>
          <w:tcPr>
            <w:tcW w:w="1661" w:type="dxa"/>
            <w:vAlign w:val="center"/>
          </w:tcPr>
          <w:p w14:paraId="4EEB2C3F">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总价</w:t>
            </w:r>
          </w:p>
        </w:tc>
      </w:tr>
    </w:tbl>
    <w:p w14:paraId="0DE70A5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备注：无</w:t>
      </w:r>
    </w:p>
    <w:p w14:paraId="174F258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时间：     年     月     日</w:t>
      </w:r>
    </w:p>
    <w:p w14:paraId="7F2ADE0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xml:space="preserve">签章：                     </w:t>
      </w:r>
    </w:p>
    <w:p w14:paraId="48A9CBCD">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投标（响应）报价明细表</w:t>
      </w:r>
    </w:p>
    <w:p w14:paraId="34B9D00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公司名称：</w:t>
      </w:r>
    </w:p>
    <w:p w14:paraId="35D0B2F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包号：</w:t>
      </w:r>
    </w:p>
    <w:p w14:paraId="4FE5983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p>
    <w:p w14:paraId="266A3C6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项目名称：</w:t>
      </w:r>
      <w:r>
        <w:rPr>
          <w:rFonts w:hint="default" w:asciiTheme="minorEastAsia" w:hAnsiTheme="minorEastAsia"/>
          <w:color w:val="auto"/>
          <w:sz w:val="24"/>
          <w:szCs w:val="24"/>
          <w:highlight w:val="none"/>
        </w:rPr>
        <w:t xml:space="preserve">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5EDE3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597D48DE">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639" w:type="dxa"/>
            <w:vAlign w:val="center"/>
          </w:tcPr>
          <w:p w14:paraId="3294855B">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货物名称</w:t>
            </w:r>
          </w:p>
        </w:tc>
        <w:tc>
          <w:tcPr>
            <w:tcW w:w="639" w:type="dxa"/>
            <w:vAlign w:val="center"/>
          </w:tcPr>
          <w:p w14:paraId="7FA36286">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规格型号</w:t>
            </w:r>
          </w:p>
        </w:tc>
        <w:tc>
          <w:tcPr>
            <w:tcW w:w="639" w:type="dxa"/>
            <w:vAlign w:val="center"/>
          </w:tcPr>
          <w:p w14:paraId="096FA1C3">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品牌</w:t>
            </w:r>
          </w:p>
        </w:tc>
        <w:tc>
          <w:tcPr>
            <w:tcW w:w="639" w:type="dxa"/>
            <w:vAlign w:val="center"/>
          </w:tcPr>
          <w:p w14:paraId="01CE9803">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制造商名称</w:t>
            </w:r>
          </w:p>
        </w:tc>
        <w:tc>
          <w:tcPr>
            <w:tcW w:w="639" w:type="dxa"/>
            <w:vAlign w:val="center"/>
          </w:tcPr>
          <w:p w14:paraId="40E0C6CB">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产地</w:t>
            </w:r>
          </w:p>
        </w:tc>
        <w:tc>
          <w:tcPr>
            <w:tcW w:w="639" w:type="dxa"/>
            <w:vAlign w:val="center"/>
          </w:tcPr>
          <w:p w14:paraId="7F11DC09">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最高限价</w:t>
            </w:r>
          </w:p>
        </w:tc>
        <w:tc>
          <w:tcPr>
            <w:tcW w:w="639" w:type="dxa"/>
            <w:vAlign w:val="center"/>
          </w:tcPr>
          <w:p w14:paraId="6FDA92A6">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单价</w:t>
            </w:r>
          </w:p>
        </w:tc>
        <w:tc>
          <w:tcPr>
            <w:tcW w:w="639" w:type="dxa"/>
            <w:vAlign w:val="center"/>
          </w:tcPr>
          <w:p w14:paraId="24EBD58A">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639" w:type="dxa"/>
            <w:vAlign w:val="center"/>
          </w:tcPr>
          <w:p w14:paraId="130191A9">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计量单位</w:t>
            </w:r>
          </w:p>
        </w:tc>
        <w:tc>
          <w:tcPr>
            <w:tcW w:w="639" w:type="dxa"/>
            <w:vAlign w:val="center"/>
          </w:tcPr>
          <w:p w14:paraId="3DC39D4B">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总价</w:t>
            </w:r>
          </w:p>
        </w:tc>
        <w:tc>
          <w:tcPr>
            <w:tcW w:w="639" w:type="dxa"/>
            <w:vAlign w:val="center"/>
          </w:tcPr>
          <w:p w14:paraId="5C89DC1E">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是否环境标志产品</w:t>
            </w:r>
          </w:p>
        </w:tc>
        <w:tc>
          <w:tcPr>
            <w:tcW w:w="639" w:type="dxa"/>
            <w:vAlign w:val="center"/>
          </w:tcPr>
          <w:p w14:paraId="0727F553">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是否节能产品</w:t>
            </w:r>
          </w:p>
        </w:tc>
      </w:tr>
      <w:tr w14:paraId="1753E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6DF6FD4B">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639" w:type="dxa"/>
            <w:vAlign w:val="center"/>
          </w:tcPr>
          <w:p w14:paraId="686859CA">
            <w:pPr>
              <w:pStyle w:val="54"/>
              <w:jc w:val="center"/>
              <w:rPr>
                <w:rFonts w:hint="default" w:asciiTheme="minorEastAsia" w:hAnsiTheme="minorEastAsia"/>
                <w:color w:val="auto"/>
                <w:sz w:val="24"/>
                <w:szCs w:val="24"/>
                <w:highlight w:val="none"/>
              </w:rPr>
            </w:pPr>
          </w:p>
        </w:tc>
        <w:tc>
          <w:tcPr>
            <w:tcW w:w="639" w:type="dxa"/>
            <w:vAlign w:val="center"/>
          </w:tcPr>
          <w:p w14:paraId="680716B9">
            <w:pPr>
              <w:pStyle w:val="54"/>
              <w:jc w:val="center"/>
              <w:rPr>
                <w:rFonts w:hint="default" w:asciiTheme="minorEastAsia" w:hAnsiTheme="minorEastAsia"/>
                <w:color w:val="auto"/>
                <w:sz w:val="24"/>
                <w:szCs w:val="24"/>
                <w:highlight w:val="none"/>
              </w:rPr>
            </w:pPr>
          </w:p>
        </w:tc>
        <w:tc>
          <w:tcPr>
            <w:tcW w:w="639" w:type="dxa"/>
            <w:vAlign w:val="center"/>
          </w:tcPr>
          <w:p w14:paraId="23779B4D">
            <w:pPr>
              <w:pStyle w:val="54"/>
              <w:jc w:val="center"/>
              <w:rPr>
                <w:rFonts w:hint="default" w:asciiTheme="minorEastAsia" w:hAnsiTheme="minorEastAsia"/>
                <w:color w:val="auto"/>
                <w:sz w:val="24"/>
                <w:szCs w:val="24"/>
                <w:highlight w:val="none"/>
              </w:rPr>
            </w:pPr>
          </w:p>
        </w:tc>
        <w:tc>
          <w:tcPr>
            <w:tcW w:w="639" w:type="dxa"/>
            <w:vAlign w:val="center"/>
          </w:tcPr>
          <w:p w14:paraId="3E3CD65F">
            <w:pPr>
              <w:pStyle w:val="54"/>
              <w:jc w:val="center"/>
              <w:rPr>
                <w:rFonts w:hint="default" w:asciiTheme="minorEastAsia" w:hAnsiTheme="minorEastAsia"/>
                <w:color w:val="auto"/>
                <w:sz w:val="24"/>
                <w:szCs w:val="24"/>
                <w:highlight w:val="none"/>
              </w:rPr>
            </w:pPr>
          </w:p>
        </w:tc>
        <w:tc>
          <w:tcPr>
            <w:tcW w:w="639" w:type="dxa"/>
            <w:vAlign w:val="center"/>
          </w:tcPr>
          <w:p w14:paraId="2FCE78B4">
            <w:pPr>
              <w:pStyle w:val="54"/>
              <w:jc w:val="center"/>
              <w:rPr>
                <w:rFonts w:hint="default" w:asciiTheme="minorEastAsia" w:hAnsiTheme="minorEastAsia"/>
                <w:color w:val="auto"/>
                <w:sz w:val="24"/>
                <w:szCs w:val="24"/>
                <w:highlight w:val="none"/>
              </w:rPr>
            </w:pPr>
          </w:p>
        </w:tc>
        <w:tc>
          <w:tcPr>
            <w:tcW w:w="639" w:type="dxa"/>
            <w:vAlign w:val="center"/>
          </w:tcPr>
          <w:p w14:paraId="0342C2F9">
            <w:pPr>
              <w:pStyle w:val="54"/>
              <w:jc w:val="center"/>
              <w:rPr>
                <w:rFonts w:hint="default" w:asciiTheme="minorEastAsia" w:hAnsiTheme="minorEastAsia"/>
                <w:color w:val="auto"/>
                <w:sz w:val="24"/>
                <w:szCs w:val="24"/>
                <w:highlight w:val="none"/>
              </w:rPr>
            </w:pPr>
          </w:p>
        </w:tc>
        <w:tc>
          <w:tcPr>
            <w:tcW w:w="639" w:type="dxa"/>
            <w:vAlign w:val="center"/>
          </w:tcPr>
          <w:p w14:paraId="58D64D4F">
            <w:pPr>
              <w:pStyle w:val="54"/>
              <w:jc w:val="center"/>
              <w:rPr>
                <w:rFonts w:hint="default" w:asciiTheme="minorEastAsia" w:hAnsiTheme="minorEastAsia"/>
                <w:color w:val="auto"/>
                <w:sz w:val="24"/>
                <w:szCs w:val="24"/>
                <w:highlight w:val="none"/>
              </w:rPr>
            </w:pPr>
          </w:p>
        </w:tc>
        <w:tc>
          <w:tcPr>
            <w:tcW w:w="639" w:type="dxa"/>
            <w:vAlign w:val="center"/>
          </w:tcPr>
          <w:p w14:paraId="199D21C8">
            <w:pPr>
              <w:pStyle w:val="54"/>
              <w:jc w:val="center"/>
              <w:rPr>
                <w:rFonts w:hint="default" w:asciiTheme="minorEastAsia" w:hAnsiTheme="minorEastAsia"/>
                <w:color w:val="auto"/>
                <w:sz w:val="24"/>
                <w:szCs w:val="24"/>
                <w:highlight w:val="none"/>
              </w:rPr>
            </w:pPr>
          </w:p>
        </w:tc>
        <w:tc>
          <w:tcPr>
            <w:tcW w:w="639" w:type="dxa"/>
            <w:vAlign w:val="center"/>
          </w:tcPr>
          <w:p w14:paraId="671FDED7">
            <w:pPr>
              <w:pStyle w:val="54"/>
              <w:jc w:val="center"/>
              <w:rPr>
                <w:rFonts w:hint="default" w:asciiTheme="minorEastAsia" w:hAnsiTheme="minorEastAsia"/>
                <w:color w:val="auto"/>
                <w:sz w:val="24"/>
                <w:szCs w:val="24"/>
                <w:highlight w:val="none"/>
              </w:rPr>
            </w:pPr>
          </w:p>
        </w:tc>
        <w:tc>
          <w:tcPr>
            <w:tcW w:w="639" w:type="dxa"/>
            <w:vAlign w:val="center"/>
          </w:tcPr>
          <w:p w14:paraId="2F6D759E">
            <w:pPr>
              <w:pStyle w:val="54"/>
              <w:jc w:val="center"/>
              <w:rPr>
                <w:rFonts w:hint="default" w:asciiTheme="minorEastAsia" w:hAnsiTheme="minorEastAsia"/>
                <w:color w:val="auto"/>
                <w:sz w:val="24"/>
                <w:szCs w:val="24"/>
                <w:highlight w:val="none"/>
              </w:rPr>
            </w:pPr>
          </w:p>
        </w:tc>
        <w:tc>
          <w:tcPr>
            <w:tcW w:w="639" w:type="dxa"/>
            <w:vAlign w:val="center"/>
          </w:tcPr>
          <w:p w14:paraId="41E3D7E0">
            <w:pPr>
              <w:pStyle w:val="54"/>
              <w:jc w:val="center"/>
              <w:rPr>
                <w:rFonts w:hint="default" w:asciiTheme="minorEastAsia" w:hAnsiTheme="minorEastAsia"/>
                <w:color w:val="auto"/>
                <w:sz w:val="24"/>
                <w:szCs w:val="24"/>
                <w:highlight w:val="none"/>
              </w:rPr>
            </w:pPr>
          </w:p>
        </w:tc>
        <w:tc>
          <w:tcPr>
            <w:tcW w:w="639" w:type="dxa"/>
            <w:vAlign w:val="center"/>
          </w:tcPr>
          <w:p w14:paraId="6B729676">
            <w:pPr>
              <w:pStyle w:val="54"/>
              <w:jc w:val="center"/>
              <w:rPr>
                <w:rFonts w:hint="default" w:asciiTheme="minorEastAsia" w:hAnsiTheme="minorEastAsia"/>
                <w:color w:val="auto"/>
                <w:sz w:val="24"/>
                <w:szCs w:val="24"/>
                <w:highlight w:val="none"/>
              </w:rPr>
            </w:pPr>
          </w:p>
        </w:tc>
      </w:tr>
    </w:tbl>
    <w:p w14:paraId="15E45AE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合计：</w:t>
      </w:r>
    </w:p>
    <w:p w14:paraId="5EBBAF3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备注：无</w:t>
      </w:r>
    </w:p>
    <w:p w14:paraId="51E9B55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时间：     年     月     日</w:t>
      </w:r>
    </w:p>
    <w:p w14:paraId="7A123A0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xml:space="preserve">签章：                     </w:t>
      </w:r>
    </w:p>
    <w:p w14:paraId="5985BF16">
      <w:pPr>
        <w:rPr>
          <w:color w:val="auto"/>
          <w:highlight w:val="none"/>
        </w:rPr>
        <w:sectPr>
          <w:pgSz w:w="11906" w:h="16838"/>
          <w:pgMar w:top="1418" w:right="1418" w:bottom="1418" w:left="1418" w:header="851" w:footer="992" w:gutter="0"/>
          <w:cols w:space="425" w:num="1"/>
          <w:docGrid w:type="lines" w:linePitch="312" w:charSpace="0"/>
        </w:sectPr>
      </w:pPr>
    </w:p>
    <w:p w14:paraId="40F9696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三、招标文件规定的价格扣除证明材料（若有）</w:t>
      </w:r>
    </w:p>
    <w:p w14:paraId="0E505FA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三-1优先类节能产品、环境标志产品价格扣除证明材料（若有）</w:t>
      </w:r>
    </w:p>
    <w:p w14:paraId="695DB9A8">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三-1-①优先类节能产品、环境标志产品统计表（价格扣除适用，若有）</w:t>
      </w:r>
    </w:p>
    <w:p w14:paraId="5B2CD78B">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2AA7A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4AE0911C">
            <w:pPr>
              <w:spacing w:line="360" w:lineRule="auto"/>
              <w:jc w:val="center"/>
              <w:rPr>
                <w:rFonts w:asciiTheme="minorEastAsia" w:hAnsiTheme="minorEastAsia"/>
                <w:color w:val="auto"/>
                <w:sz w:val="24"/>
                <w:szCs w:val="24"/>
                <w:highlight w:val="none"/>
              </w:rPr>
            </w:pPr>
          </w:p>
        </w:tc>
        <w:tc>
          <w:tcPr>
            <w:tcW w:w="7122" w:type="dxa"/>
            <w:gridSpan w:val="3"/>
            <w:vAlign w:val="center"/>
          </w:tcPr>
          <w:p w14:paraId="52A665E0">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本采购包内属于节能、环境标志产品情况</w:t>
            </w:r>
          </w:p>
        </w:tc>
      </w:tr>
      <w:tr w14:paraId="7D45D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24F7FCE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187" w:type="dxa"/>
            <w:vAlign w:val="center"/>
          </w:tcPr>
          <w:p w14:paraId="6CAFAB6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187" w:type="dxa"/>
            <w:vAlign w:val="center"/>
          </w:tcPr>
          <w:p w14:paraId="54D0B3BB">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产品名称</w:t>
            </w:r>
          </w:p>
        </w:tc>
        <w:tc>
          <w:tcPr>
            <w:tcW w:w="4748" w:type="dxa"/>
            <w:vAlign w:val="center"/>
          </w:tcPr>
          <w:p w14:paraId="07EE698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认证种类</w:t>
            </w:r>
          </w:p>
        </w:tc>
      </w:tr>
      <w:tr w14:paraId="695AF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79F89A3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87" w:type="dxa"/>
            <w:vAlign w:val="center"/>
          </w:tcPr>
          <w:p w14:paraId="495F87F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187" w:type="dxa"/>
            <w:vAlign w:val="center"/>
          </w:tcPr>
          <w:p w14:paraId="6029C80C">
            <w:pPr>
              <w:spacing w:line="360" w:lineRule="auto"/>
              <w:jc w:val="center"/>
              <w:rPr>
                <w:rFonts w:asciiTheme="minorEastAsia" w:hAnsiTheme="minorEastAsia"/>
                <w:color w:val="auto"/>
                <w:sz w:val="24"/>
                <w:szCs w:val="24"/>
                <w:highlight w:val="none"/>
              </w:rPr>
            </w:pPr>
          </w:p>
        </w:tc>
        <w:tc>
          <w:tcPr>
            <w:tcW w:w="4748" w:type="dxa"/>
            <w:vAlign w:val="center"/>
          </w:tcPr>
          <w:p w14:paraId="56FEE2D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供应商自行填写种类，并上传证明附件以便评审查看</w:t>
            </w:r>
          </w:p>
        </w:tc>
      </w:tr>
      <w:tr w14:paraId="07DEF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283EB2C7">
            <w:pPr>
              <w:spacing w:line="360" w:lineRule="auto"/>
              <w:jc w:val="center"/>
              <w:rPr>
                <w:rFonts w:asciiTheme="minorEastAsia" w:hAnsiTheme="minorEastAsia"/>
                <w:color w:val="auto"/>
                <w:sz w:val="24"/>
                <w:szCs w:val="24"/>
                <w:highlight w:val="none"/>
              </w:rPr>
            </w:pPr>
          </w:p>
        </w:tc>
        <w:tc>
          <w:tcPr>
            <w:tcW w:w="1187" w:type="dxa"/>
            <w:vAlign w:val="center"/>
          </w:tcPr>
          <w:p w14:paraId="4A2DC93C">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6C91FB30">
            <w:pPr>
              <w:pStyle w:val="54"/>
              <w:spacing w:line="360" w:lineRule="auto"/>
              <w:jc w:val="center"/>
              <w:rPr>
                <w:rFonts w:hint="default" w:asciiTheme="minorEastAsia" w:hAnsiTheme="minorEastAsia"/>
                <w:color w:val="auto"/>
                <w:sz w:val="24"/>
                <w:szCs w:val="24"/>
                <w:highlight w:val="none"/>
              </w:rPr>
            </w:pPr>
          </w:p>
        </w:tc>
        <w:tc>
          <w:tcPr>
            <w:tcW w:w="1187" w:type="dxa"/>
            <w:vAlign w:val="center"/>
          </w:tcPr>
          <w:p w14:paraId="5138A802">
            <w:pPr>
              <w:spacing w:line="360" w:lineRule="auto"/>
              <w:jc w:val="center"/>
              <w:rPr>
                <w:rFonts w:asciiTheme="minorEastAsia" w:hAnsiTheme="minorEastAsia"/>
                <w:color w:val="auto"/>
                <w:sz w:val="24"/>
                <w:szCs w:val="24"/>
                <w:highlight w:val="none"/>
              </w:rPr>
            </w:pPr>
          </w:p>
        </w:tc>
        <w:tc>
          <w:tcPr>
            <w:tcW w:w="4748" w:type="dxa"/>
            <w:vAlign w:val="center"/>
          </w:tcPr>
          <w:p w14:paraId="5965926C">
            <w:pPr>
              <w:spacing w:line="360" w:lineRule="auto"/>
              <w:jc w:val="center"/>
              <w:rPr>
                <w:rFonts w:asciiTheme="minorEastAsia" w:hAnsiTheme="minorEastAsia"/>
                <w:color w:val="auto"/>
                <w:sz w:val="24"/>
                <w:szCs w:val="24"/>
                <w:highlight w:val="none"/>
              </w:rPr>
            </w:pPr>
          </w:p>
        </w:tc>
      </w:tr>
      <w:tr w14:paraId="63187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089CA0B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c>
          <w:tcPr>
            <w:tcW w:w="7122" w:type="dxa"/>
            <w:gridSpan w:val="3"/>
            <w:vAlign w:val="center"/>
          </w:tcPr>
          <w:p w14:paraId="142FB124">
            <w:pPr>
              <w:pStyle w:val="54"/>
              <w:spacing w:line="360" w:lineRule="auto"/>
              <w:jc w:val="center"/>
              <w:rPr>
                <w:rFonts w:hint="default" w:asciiTheme="minorEastAsia" w:hAnsiTheme="minorEastAsia"/>
                <w:color w:val="auto"/>
                <w:sz w:val="24"/>
                <w:szCs w:val="24"/>
                <w:highlight w:val="none"/>
              </w:rPr>
            </w:pPr>
          </w:p>
        </w:tc>
      </w:tr>
    </w:tbl>
    <w:p w14:paraId="0EBC832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6AFE4A4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1、对节能、环境标志产品计算价格扣除时，只依据电子投标文件“投标（响应）报价明细表”以及“优先类节能产品、环境标志产品证明材料（价格扣除适用，若有）”。</w:t>
      </w:r>
    </w:p>
    <w:p w14:paraId="73FDFB3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2、本表以采购包为单位，不同采购包请分别填写；同一采购包请按照其品目号顺序分别填写。</w:t>
      </w:r>
    </w:p>
    <w:p w14:paraId="6A194F5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3、具体统计、计算：</w:t>
      </w:r>
    </w:p>
    <w:p w14:paraId="65AB0A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3.1同一品目中各认证证书不重复计算价格扣除。</w:t>
      </w:r>
    </w:p>
    <w:p w14:paraId="4358E4D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3.2计算结果若除不尽，可四舍五入保留到小数点后两位。</w:t>
      </w:r>
    </w:p>
    <w:p w14:paraId="6C39F47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3.3投标人（供应商）按照采购文件要求认真统计、计算。</w:t>
      </w:r>
    </w:p>
    <w:p w14:paraId="68F6C90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3.4若无节能、环境标志产品，不填写本表。</w:t>
      </w:r>
    </w:p>
    <w:p w14:paraId="18DF7F6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3.5强制类节能产品不享受价格扣除。</w:t>
      </w:r>
    </w:p>
    <w:p w14:paraId="71F0E5F6">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1DDB2159">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A5F83D5">
      <w:pPr>
        <w:rPr>
          <w:color w:val="auto"/>
          <w:highlight w:val="none"/>
        </w:rPr>
      </w:pPr>
    </w:p>
    <w:p w14:paraId="16C3800F">
      <w:pPr>
        <w:rPr>
          <w:color w:val="auto"/>
          <w:highlight w:val="none"/>
        </w:rPr>
        <w:sectPr>
          <w:pgSz w:w="11906" w:h="16838"/>
          <w:pgMar w:top="1418" w:right="1418" w:bottom="1418" w:left="1418" w:header="851" w:footer="992" w:gutter="0"/>
          <w:cols w:space="425" w:num="1"/>
          <w:docGrid w:type="lines" w:linePitch="312" w:charSpace="0"/>
        </w:sectPr>
      </w:pPr>
    </w:p>
    <w:p w14:paraId="6755704F">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三-1-②优先类节能产品、环境标志产品证明材料（价格扣除适用，若有）</w:t>
      </w:r>
    </w:p>
    <w:p w14:paraId="6F672DF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三-2小型、微型企业产品等价格扣除证明材料（若有）</w:t>
      </w:r>
    </w:p>
    <w:p w14:paraId="454AD06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三-2-①中小企业声明函（价格扣除适用，若有）</w:t>
      </w:r>
    </w:p>
    <w:p w14:paraId="7E7471D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中小企业声明函（货物）</w:t>
      </w:r>
    </w:p>
    <w:p w14:paraId="35FA0C9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采购活动，提供的货物全部由符合政策要求的中小企业制造。相关企业（含联合体中的中小企业、签订分包意向协议的中小企业）的具体情况如下：</w:t>
      </w:r>
    </w:p>
    <w:p w14:paraId="2D13754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w:t>
      </w:r>
      <w:r>
        <w:rPr>
          <w:rFonts w:cs="宋体" w:asciiTheme="minorEastAsia" w:hAnsiTheme="minorEastAsia"/>
          <w:color w:val="auto"/>
          <w:sz w:val="24"/>
          <w:szCs w:val="24"/>
          <w:highlight w:val="none"/>
          <w:vertAlign w:val="superscript"/>
        </w:rPr>
        <w:t>1</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2762037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224863C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6CD1EA9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335181A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2BA5C328">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2C7A4814">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55E2A55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47CC01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446CAA0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F4B965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67862C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中小企业声明函（工程、服务）</w:t>
      </w:r>
    </w:p>
    <w:p w14:paraId="317882F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87744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w:t>
      </w:r>
      <w:r>
        <w:rPr>
          <w:rFonts w:cs="宋体" w:asciiTheme="minorEastAsia" w:hAnsiTheme="minorEastAsia"/>
          <w:color w:val="auto"/>
          <w:sz w:val="24"/>
          <w:szCs w:val="24"/>
          <w:highlight w:val="none"/>
          <w:vertAlign w:val="superscript"/>
        </w:rPr>
        <w:t>1</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1C3EEDD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4A2DFEA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19C7730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242E2E0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4BDB3AD6">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1A660A6">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68A1F9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BA8FC7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2E7A9B3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9C05A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A68ECA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三-2-②小型、微型企业等证明材料（价格扣除适用，若有）</w:t>
      </w:r>
    </w:p>
    <w:p w14:paraId="2FB0A6D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1A67D71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2FAC2D9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4470EE4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76A3564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残疾人福利性单位声明函（价格扣除适用，若有）</w:t>
      </w:r>
    </w:p>
    <w:p w14:paraId="3851C0B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29EC3A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834EA5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）由本投标人承建的（填写“所投采购包、品目号”）工程</w:t>
      </w:r>
    </w:p>
    <w:p w14:paraId="7ECD6E2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）由本投标人承接的（填写“所投采购包、品目号”）服务；</w:t>
      </w:r>
    </w:p>
    <w:p w14:paraId="7C49B00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本投标人对上述声明的真实性负责。如有虚假，将依法承担相应责任。</w:t>
      </w:r>
    </w:p>
    <w:p w14:paraId="5FAAFC5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p w14:paraId="5551576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1、请投标人按照实际情况编制填写本声明函，并在相应的（）中打“√”。</w:t>
      </w:r>
    </w:p>
    <w:p w14:paraId="6006937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2、若《残疾人福利性单位声明函》内容不真实，视为提供虚假材料。</w:t>
      </w:r>
    </w:p>
    <w:p w14:paraId="148AB087">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0C07FF3E">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40416C4">
      <w:pPr>
        <w:pStyle w:val="54"/>
        <w:spacing w:line="360" w:lineRule="auto"/>
        <w:rPr>
          <w:rFonts w:hint="default" w:asciiTheme="minorEastAsia" w:hAnsiTheme="minorEastAsia"/>
          <w:color w:val="auto"/>
          <w:sz w:val="24"/>
          <w:szCs w:val="24"/>
          <w:highlight w:val="none"/>
        </w:rPr>
      </w:pPr>
    </w:p>
    <w:p w14:paraId="25E7AC70">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6C8F348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监狱企业证明材料</w:t>
      </w:r>
    </w:p>
    <w:p w14:paraId="6094AE8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3A02401E">
      <w:pPr>
        <w:rPr>
          <w:color w:val="auto"/>
          <w:highlight w:val="none"/>
        </w:rPr>
      </w:pPr>
    </w:p>
    <w:p w14:paraId="6ABB21C2">
      <w:pPr>
        <w:rPr>
          <w:color w:val="auto"/>
          <w:highlight w:val="none"/>
        </w:rPr>
        <w:sectPr>
          <w:pgSz w:w="11906" w:h="16838"/>
          <w:pgMar w:top="1418" w:right="1418" w:bottom="1418" w:left="1418" w:header="851" w:footer="992" w:gutter="0"/>
          <w:cols w:space="425" w:num="1"/>
          <w:docGrid w:type="lines" w:linePitch="312" w:charSpace="0"/>
        </w:sectPr>
      </w:pPr>
    </w:p>
    <w:p w14:paraId="59000A3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三-3招标文件规定的其他价格扣除证明材料（若有）</w:t>
      </w:r>
    </w:p>
    <w:p w14:paraId="2051622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457A9DD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67521967">
      <w:pPr>
        <w:rPr>
          <w:color w:val="auto"/>
          <w:highlight w:val="none"/>
        </w:rPr>
      </w:pPr>
    </w:p>
    <w:p w14:paraId="0AD4ABD1">
      <w:pPr>
        <w:rPr>
          <w:color w:val="auto"/>
          <w:highlight w:val="none"/>
        </w:rPr>
        <w:sectPr>
          <w:pgSz w:w="11906" w:h="16838"/>
          <w:pgMar w:top="1418" w:right="1418" w:bottom="1418" w:left="1418" w:header="851" w:footer="992" w:gutter="0"/>
          <w:cols w:space="425" w:num="1"/>
          <w:docGrid w:type="lines" w:linePitch="312" w:charSpace="0"/>
        </w:sectPr>
      </w:pPr>
    </w:p>
    <w:p w14:paraId="37DCD9A6">
      <w:pPr>
        <w:spacing w:beforeLines="50" w:afterLines="50"/>
        <w:jc w:val="center"/>
        <w:rPr>
          <w:b/>
          <w:color w:val="auto"/>
          <w:sz w:val="28"/>
          <w:szCs w:val="28"/>
          <w:highlight w:val="none"/>
        </w:rPr>
      </w:pPr>
      <w:r>
        <w:rPr>
          <w:b/>
          <w:color w:val="auto"/>
          <w:sz w:val="28"/>
          <w:szCs w:val="28"/>
          <w:highlight w:val="none"/>
        </w:rPr>
        <w:t>封面格式（</w:t>
      </w:r>
      <w:r>
        <w:rPr>
          <w:rFonts w:hint="eastAsia"/>
          <w:b/>
          <w:color w:val="auto"/>
          <w:sz w:val="28"/>
          <w:szCs w:val="28"/>
          <w:highlight w:val="none"/>
        </w:rPr>
        <w:t>技术</w:t>
      </w:r>
      <w:r>
        <w:rPr>
          <w:b/>
          <w:color w:val="auto"/>
          <w:sz w:val="28"/>
          <w:szCs w:val="28"/>
          <w:highlight w:val="none"/>
        </w:rPr>
        <w:t>商务部分）</w:t>
      </w:r>
    </w:p>
    <w:p w14:paraId="159956C9">
      <w:pPr>
        <w:jc w:val="center"/>
        <w:rPr>
          <w:rFonts w:ascii="宋体" w:hAnsi="宋体" w:eastAsia="宋体"/>
          <w:b/>
          <w:color w:val="auto"/>
          <w:sz w:val="32"/>
          <w:szCs w:val="32"/>
          <w:highlight w:val="none"/>
        </w:rPr>
      </w:pPr>
    </w:p>
    <w:p w14:paraId="2B2292F6">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6C9AD0AD">
      <w:pPr>
        <w:jc w:val="center"/>
        <w:rPr>
          <w:rFonts w:ascii="宋体" w:hAnsi="宋体" w:eastAsia="宋体"/>
          <w:b/>
          <w:color w:val="auto"/>
          <w:sz w:val="32"/>
          <w:szCs w:val="32"/>
          <w:highlight w:val="none"/>
        </w:rPr>
      </w:pPr>
      <w:r>
        <w:rPr>
          <w:rFonts w:ascii="宋体" w:hAnsi="宋体" w:eastAsia="宋体"/>
          <w:b/>
          <w:color w:val="auto"/>
          <w:sz w:val="32"/>
          <w:szCs w:val="32"/>
          <w:highlight w:val="none"/>
        </w:rPr>
        <w:t>（</w:t>
      </w:r>
      <w:r>
        <w:rPr>
          <w:rFonts w:hint="eastAsia" w:ascii="宋体" w:hAnsi="宋体" w:eastAsia="宋体"/>
          <w:b/>
          <w:color w:val="auto"/>
          <w:sz w:val="32"/>
          <w:szCs w:val="32"/>
          <w:highlight w:val="none"/>
        </w:rPr>
        <w:t>技术商务</w:t>
      </w:r>
      <w:r>
        <w:rPr>
          <w:rFonts w:ascii="宋体" w:hAnsi="宋体" w:eastAsia="宋体"/>
          <w:b/>
          <w:color w:val="auto"/>
          <w:sz w:val="32"/>
          <w:szCs w:val="32"/>
          <w:highlight w:val="none"/>
        </w:rPr>
        <w:t>部分）</w:t>
      </w:r>
    </w:p>
    <w:p w14:paraId="18C96857">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6C40A8AF">
      <w:pPr>
        <w:jc w:val="center"/>
        <w:rPr>
          <w:rFonts w:ascii="宋体" w:hAnsi="宋体" w:eastAsia="宋体"/>
          <w:b/>
          <w:color w:val="auto"/>
          <w:sz w:val="32"/>
          <w:szCs w:val="32"/>
          <w:highlight w:val="none"/>
        </w:rPr>
      </w:pPr>
    </w:p>
    <w:p w14:paraId="145F8DEC">
      <w:pPr>
        <w:jc w:val="center"/>
        <w:rPr>
          <w:rFonts w:ascii="宋体" w:hAnsi="宋体" w:eastAsia="宋体"/>
          <w:b/>
          <w:color w:val="auto"/>
          <w:sz w:val="32"/>
          <w:szCs w:val="32"/>
          <w:highlight w:val="none"/>
        </w:rPr>
      </w:pPr>
    </w:p>
    <w:p w14:paraId="7B18E87B">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49518A60">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09950D3A">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69B05E9D">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019B4A83">
      <w:pPr>
        <w:jc w:val="center"/>
        <w:rPr>
          <w:rFonts w:ascii="宋体" w:hAnsi="宋体" w:eastAsia="宋体"/>
          <w:b/>
          <w:color w:val="auto"/>
          <w:sz w:val="32"/>
          <w:szCs w:val="32"/>
          <w:highlight w:val="none"/>
        </w:rPr>
      </w:pPr>
    </w:p>
    <w:p w14:paraId="4D1D29E1">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3B1701CC">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4A4D9C8C">
      <w:pPr>
        <w:rPr>
          <w:color w:val="auto"/>
          <w:highlight w:val="none"/>
        </w:rPr>
      </w:pPr>
    </w:p>
    <w:p w14:paraId="39ED171F">
      <w:pPr>
        <w:rPr>
          <w:color w:val="auto"/>
          <w:highlight w:val="none"/>
        </w:rPr>
      </w:pPr>
    </w:p>
    <w:p w14:paraId="574C80E3">
      <w:pPr>
        <w:rPr>
          <w:color w:val="auto"/>
          <w:highlight w:val="none"/>
        </w:rPr>
        <w:sectPr>
          <w:pgSz w:w="11906" w:h="16838"/>
          <w:pgMar w:top="1418" w:right="1418" w:bottom="1418" w:left="1418" w:header="851" w:footer="992" w:gutter="0"/>
          <w:cols w:space="425" w:num="1"/>
          <w:docGrid w:type="lines" w:linePitch="312" w:charSpace="0"/>
        </w:sectPr>
      </w:pPr>
    </w:p>
    <w:p w14:paraId="4297A4C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索引</w:t>
      </w:r>
    </w:p>
    <w:p w14:paraId="1AA3B72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一、标的说明一览表</w:t>
      </w:r>
    </w:p>
    <w:p w14:paraId="29360E2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二、技术和服务要求响应表</w:t>
      </w:r>
    </w:p>
    <w:p w14:paraId="50D9C54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三、商务条件响应表</w:t>
      </w:r>
    </w:p>
    <w:p w14:paraId="075A0EE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四、投标人提交的其他资料（若有）</w:t>
      </w:r>
    </w:p>
    <w:p w14:paraId="6A5C855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F283E7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技术商务部分中不得出现报价部分的全部或部分的投标报价信息（或组成资料），否则符合性审查不合格。</w:t>
      </w:r>
    </w:p>
    <w:p w14:paraId="582AB27A">
      <w:pPr>
        <w:rPr>
          <w:color w:val="auto"/>
          <w:highlight w:val="none"/>
        </w:rPr>
      </w:pPr>
    </w:p>
    <w:p w14:paraId="5DB0D78D">
      <w:pPr>
        <w:rPr>
          <w:color w:val="auto"/>
          <w:highlight w:val="none"/>
        </w:rPr>
        <w:sectPr>
          <w:pgSz w:w="11906" w:h="16838"/>
          <w:pgMar w:top="1418" w:right="1418" w:bottom="1418" w:left="1418" w:header="851" w:footer="992" w:gutter="0"/>
          <w:cols w:space="425" w:num="1"/>
          <w:docGrid w:type="lines" w:linePitch="312" w:charSpace="0"/>
        </w:sectPr>
      </w:pPr>
    </w:p>
    <w:p w14:paraId="51BDA30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一、标的说明一览表</w:t>
      </w:r>
    </w:p>
    <w:p w14:paraId="4FFB54E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2"/>
        <w:gridCol w:w="1166"/>
        <w:gridCol w:w="1531"/>
        <w:gridCol w:w="1161"/>
        <w:gridCol w:w="1161"/>
        <w:gridCol w:w="1161"/>
        <w:gridCol w:w="1153"/>
      </w:tblGrid>
      <w:tr w14:paraId="742DD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69F07400">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166" w:type="dxa"/>
            <w:vAlign w:val="center"/>
          </w:tcPr>
          <w:p w14:paraId="5F00B34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531" w:type="dxa"/>
            <w:vAlign w:val="center"/>
          </w:tcPr>
          <w:p w14:paraId="4E98FA2C">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投标标的</w:t>
            </w:r>
          </w:p>
        </w:tc>
        <w:tc>
          <w:tcPr>
            <w:tcW w:w="1161" w:type="dxa"/>
            <w:vAlign w:val="center"/>
          </w:tcPr>
          <w:p w14:paraId="5A8D668B">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1161" w:type="dxa"/>
            <w:vAlign w:val="center"/>
          </w:tcPr>
          <w:p w14:paraId="5B98CD10">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规格</w:t>
            </w:r>
          </w:p>
        </w:tc>
        <w:tc>
          <w:tcPr>
            <w:tcW w:w="1161" w:type="dxa"/>
            <w:vAlign w:val="center"/>
          </w:tcPr>
          <w:p w14:paraId="4F6A242F">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来源地</w:t>
            </w:r>
          </w:p>
        </w:tc>
        <w:tc>
          <w:tcPr>
            <w:tcW w:w="1153" w:type="dxa"/>
            <w:vAlign w:val="center"/>
          </w:tcPr>
          <w:p w14:paraId="10086AA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r>
      <w:tr w14:paraId="534CB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restart"/>
            <w:vAlign w:val="center"/>
          </w:tcPr>
          <w:p w14:paraId="034BE9A6">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66" w:type="dxa"/>
            <w:vAlign w:val="center"/>
          </w:tcPr>
          <w:p w14:paraId="7305BD1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531" w:type="dxa"/>
            <w:vAlign w:val="center"/>
          </w:tcPr>
          <w:p w14:paraId="60F5610B">
            <w:pPr>
              <w:spacing w:line="360" w:lineRule="auto"/>
              <w:jc w:val="center"/>
              <w:rPr>
                <w:rFonts w:asciiTheme="minorEastAsia" w:hAnsiTheme="minorEastAsia"/>
                <w:color w:val="auto"/>
                <w:sz w:val="24"/>
                <w:szCs w:val="24"/>
                <w:highlight w:val="none"/>
              </w:rPr>
            </w:pPr>
          </w:p>
        </w:tc>
        <w:tc>
          <w:tcPr>
            <w:tcW w:w="1161" w:type="dxa"/>
            <w:vAlign w:val="center"/>
          </w:tcPr>
          <w:p w14:paraId="06C21FEB">
            <w:pPr>
              <w:spacing w:line="360" w:lineRule="auto"/>
              <w:jc w:val="center"/>
              <w:rPr>
                <w:rFonts w:asciiTheme="minorEastAsia" w:hAnsiTheme="minorEastAsia"/>
                <w:color w:val="auto"/>
                <w:sz w:val="24"/>
                <w:szCs w:val="24"/>
                <w:highlight w:val="none"/>
              </w:rPr>
            </w:pPr>
          </w:p>
        </w:tc>
        <w:tc>
          <w:tcPr>
            <w:tcW w:w="1161" w:type="dxa"/>
            <w:vAlign w:val="center"/>
          </w:tcPr>
          <w:p w14:paraId="59468FD7">
            <w:pPr>
              <w:spacing w:line="360" w:lineRule="auto"/>
              <w:jc w:val="center"/>
              <w:rPr>
                <w:rFonts w:asciiTheme="minorEastAsia" w:hAnsiTheme="minorEastAsia"/>
                <w:color w:val="auto"/>
                <w:sz w:val="24"/>
                <w:szCs w:val="24"/>
                <w:highlight w:val="none"/>
              </w:rPr>
            </w:pPr>
          </w:p>
        </w:tc>
        <w:tc>
          <w:tcPr>
            <w:tcW w:w="1161" w:type="dxa"/>
            <w:vAlign w:val="center"/>
          </w:tcPr>
          <w:p w14:paraId="203B6682">
            <w:pPr>
              <w:spacing w:line="360" w:lineRule="auto"/>
              <w:jc w:val="center"/>
              <w:rPr>
                <w:rFonts w:asciiTheme="minorEastAsia" w:hAnsiTheme="minorEastAsia"/>
                <w:color w:val="auto"/>
                <w:sz w:val="24"/>
                <w:szCs w:val="24"/>
                <w:highlight w:val="none"/>
              </w:rPr>
            </w:pPr>
          </w:p>
        </w:tc>
        <w:tc>
          <w:tcPr>
            <w:tcW w:w="1153" w:type="dxa"/>
            <w:vAlign w:val="center"/>
          </w:tcPr>
          <w:p w14:paraId="6ED074E7">
            <w:pPr>
              <w:spacing w:line="360" w:lineRule="auto"/>
              <w:jc w:val="center"/>
              <w:rPr>
                <w:rFonts w:asciiTheme="minorEastAsia" w:hAnsiTheme="minorEastAsia"/>
                <w:color w:val="auto"/>
                <w:sz w:val="24"/>
                <w:szCs w:val="24"/>
                <w:highlight w:val="none"/>
              </w:rPr>
            </w:pPr>
          </w:p>
        </w:tc>
      </w:tr>
      <w:tr w14:paraId="42CC8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162" w:type="dxa"/>
            <w:vMerge w:val="continue"/>
            <w:vAlign w:val="center"/>
          </w:tcPr>
          <w:p w14:paraId="6941D1D7">
            <w:pPr>
              <w:spacing w:line="360" w:lineRule="auto"/>
              <w:jc w:val="center"/>
              <w:rPr>
                <w:rFonts w:asciiTheme="minorEastAsia" w:hAnsiTheme="minorEastAsia"/>
                <w:color w:val="auto"/>
                <w:sz w:val="24"/>
                <w:szCs w:val="24"/>
                <w:highlight w:val="none"/>
              </w:rPr>
            </w:pPr>
          </w:p>
        </w:tc>
        <w:tc>
          <w:tcPr>
            <w:tcW w:w="1166" w:type="dxa"/>
            <w:vAlign w:val="center"/>
          </w:tcPr>
          <w:p w14:paraId="4C72124F">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531" w:type="dxa"/>
            <w:vAlign w:val="center"/>
          </w:tcPr>
          <w:p w14:paraId="5EF0C54F">
            <w:pPr>
              <w:spacing w:line="360" w:lineRule="auto"/>
              <w:jc w:val="center"/>
              <w:rPr>
                <w:rFonts w:asciiTheme="minorEastAsia" w:hAnsiTheme="minorEastAsia"/>
                <w:color w:val="auto"/>
                <w:sz w:val="24"/>
                <w:szCs w:val="24"/>
                <w:highlight w:val="none"/>
              </w:rPr>
            </w:pPr>
          </w:p>
        </w:tc>
        <w:tc>
          <w:tcPr>
            <w:tcW w:w="1161" w:type="dxa"/>
            <w:vAlign w:val="center"/>
          </w:tcPr>
          <w:p w14:paraId="47701875">
            <w:pPr>
              <w:spacing w:line="360" w:lineRule="auto"/>
              <w:jc w:val="center"/>
              <w:rPr>
                <w:rFonts w:asciiTheme="minorEastAsia" w:hAnsiTheme="minorEastAsia"/>
                <w:color w:val="auto"/>
                <w:sz w:val="24"/>
                <w:szCs w:val="24"/>
                <w:highlight w:val="none"/>
              </w:rPr>
            </w:pPr>
          </w:p>
        </w:tc>
        <w:tc>
          <w:tcPr>
            <w:tcW w:w="1161" w:type="dxa"/>
            <w:vAlign w:val="center"/>
          </w:tcPr>
          <w:p w14:paraId="735F4254">
            <w:pPr>
              <w:spacing w:line="360" w:lineRule="auto"/>
              <w:jc w:val="center"/>
              <w:rPr>
                <w:rFonts w:asciiTheme="minorEastAsia" w:hAnsiTheme="minorEastAsia"/>
                <w:color w:val="auto"/>
                <w:sz w:val="24"/>
                <w:szCs w:val="24"/>
                <w:highlight w:val="none"/>
              </w:rPr>
            </w:pPr>
          </w:p>
        </w:tc>
        <w:tc>
          <w:tcPr>
            <w:tcW w:w="1161" w:type="dxa"/>
            <w:vAlign w:val="center"/>
          </w:tcPr>
          <w:p w14:paraId="4BE6AE35">
            <w:pPr>
              <w:spacing w:line="360" w:lineRule="auto"/>
              <w:jc w:val="center"/>
              <w:rPr>
                <w:rFonts w:asciiTheme="minorEastAsia" w:hAnsiTheme="minorEastAsia"/>
                <w:color w:val="auto"/>
                <w:sz w:val="24"/>
                <w:szCs w:val="24"/>
                <w:highlight w:val="none"/>
              </w:rPr>
            </w:pPr>
          </w:p>
        </w:tc>
        <w:tc>
          <w:tcPr>
            <w:tcW w:w="1153" w:type="dxa"/>
            <w:vAlign w:val="center"/>
          </w:tcPr>
          <w:p w14:paraId="16229845">
            <w:pPr>
              <w:spacing w:line="360" w:lineRule="auto"/>
              <w:jc w:val="center"/>
              <w:rPr>
                <w:rFonts w:asciiTheme="minorEastAsia" w:hAnsiTheme="minorEastAsia"/>
                <w:color w:val="auto"/>
                <w:sz w:val="24"/>
                <w:szCs w:val="24"/>
                <w:highlight w:val="none"/>
              </w:rPr>
            </w:pPr>
          </w:p>
        </w:tc>
      </w:tr>
      <w:tr w14:paraId="2F80C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27E35D0B">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66" w:type="dxa"/>
            <w:vAlign w:val="center"/>
          </w:tcPr>
          <w:p w14:paraId="1F8EEDCD">
            <w:pPr>
              <w:spacing w:line="360" w:lineRule="auto"/>
              <w:jc w:val="center"/>
              <w:rPr>
                <w:rFonts w:asciiTheme="minorEastAsia" w:hAnsiTheme="minorEastAsia"/>
                <w:color w:val="auto"/>
                <w:sz w:val="24"/>
                <w:szCs w:val="24"/>
                <w:highlight w:val="none"/>
              </w:rPr>
            </w:pPr>
          </w:p>
        </w:tc>
        <w:tc>
          <w:tcPr>
            <w:tcW w:w="1531" w:type="dxa"/>
            <w:vAlign w:val="center"/>
          </w:tcPr>
          <w:p w14:paraId="799AEB35">
            <w:pPr>
              <w:spacing w:line="360" w:lineRule="auto"/>
              <w:jc w:val="center"/>
              <w:rPr>
                <w:rFonts w:asciiTheme="minorEastAsia" w:hAnsiTheme="minorEastAsia"/>
                <w:color w:val="auto"/>
                <w:sz w:val="24"/>
                <w:szCs w:val="24"/>
                <w:highlight w:val="none"/>
              </w:rPr>
            </w:pPr>
          </w:p>
        </w:tc>
        <w:tc>
          <w:tcPr>
            <w:tcW w:w="1161" w:type="dxa"/>
            <w:vAlign w:val="center"/>
          </w:tcPr>
          <w:p w14:paraId="2EAC3FAD">
            <w:pPr>
              <w:spacing w:line="360" w:lineRule="auto"/>
              <w:jc w:val="center"/>
              <w:rPr>
                <w:rFonts w:asciiTheme="minorEastAsia" w:hAnsiTheme="minorEastAsia"/>
                <w:color w:val="auto"/>
                <w:sz w:val="24"/>
                <w:szCs w:val="24"/>
                <w:highlight w:val="none"/>
              </w:rPr>
            </w:pPr>
          </w:p>
        </w:tc>
        <w:tc>
          <w:tcPr>
            <w:tcW w:w="1161" w:type="dxa"/>
            <w:vAlign w:val="center"/>
          </w:tcPr>
          <w:p w14:paraId="015DB478">
            <w:pPr>
              <w:spacing w:line="360" w:lineRule="auto"/>
              <w:jc w:val="center"/>
              <w:rPr>
                <w:rFonts w:asciiTheme="minorEastAsia" w:hAnsiTheme="minorEastAsia"/>
                <w:color w:val="auto"/>
                <w:sz w:val="24"/>
                <w:szCs w:val="24"/>
                <w:highlight w:val="none"/>
              </w:rPr>
            </w:pPr>
          </w:p>
        </w:tc>
        <w:tc>
          <w:tcPr>
            <w:tcW w:w="1161" w:type="dxa"/>
            <w:vAlign w:val="center"/>
          </w:tcPr>
          <w:p w14:paraId="62687A49">
            <w:pPr>
              <w:spacing w:line="360" w:lineRule="auto"/>
              <w:jc w:val="center"/>
              <w:rPr>
                <w:rFonts w:asciiTheme="minorEastAsia" w:hAnsiTheme="minorEastAsia"/>
                <w:color w:val="auto"/>
                <w:sz w:val="24"/>
                <w:szCs w:val="24"/>
                <w:highlight w:val="none"/>
              </w:rPr>
            </w:pPr>
          </w:p>
        </w:tc>
        <w:tc>
          <w:tcPr>
            <w:tcW w:w="1153" w:type="dxa"/>
            <w:vAlign w:val="center"/>
          </w:tcPr>
          <w:p w14:paraId="646FDC1F">
            <w:pPr>
              <w:spacing w:line="360" w:lineRule="auto"/>
              <w:jc w:val="center"/>
              <w:rPr>
                <w:rFonts w:asciiTheme="minorEastAsia" w:hAnsiTheme="minorEastAsia"/>
                <w:color w:val="auto"/>
                <w:sz w:val="24"/>
                <w:szCs w:val="24"/>
                <w:highlight w:val="none"/>
              </w:rPr>
            </w:pPr>
          </w:p>
        </w:tc>
      </w:tr>
    </w:tbl>
    <w:p w14:paraId="2BFE377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4A969B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0576BDA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1.1“采购包”、“品目号”、“投标标的”及“数量”应与招标文件《采购标的一览表》中的有关内容（“采购包”、“品目号”、“采购标的”及“数量”）保持一致。</w:t>
      </w:r>
    </w:p>
    <w:p w14:paraId="257223F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2EFDB7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40B2690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243EF66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3、电子投标文件中涉及“投标标的”、“数量”、“规格”、“来源地”的内容若不一致，应以本表为准。</w:t>
      </w:r>
    </w:p>
    <w:p w14:paraId="5F42DFAC">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51DBA55A">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58D90EC4">
      <w:pPr>
        <w:rPr>
          <w:color w:val="auto"/>
          <w:highlight w:val="none"/>
        </w:rPr>
      </w:pPr>
    </w:p>
    <w:p w14:paraId="66C3B2E6">
      <w:pPr>
        <w:rPr>
          <w:color w:val="auto"/>
          <w:highlight w:val="none"/>
        </w:rPr>
        <w:sectPr>
          <w:pgSz w:w="11906" w:h="16838"/>
          <w:pgMar w:top="1418" w:right="1418" w:bottom="1418" w:left="1418" w:header="851" w:footer="992" w:gutter="0"/>
          <w:cols w:space="425" w:num="1"/>
          <w:docGrid w:type="lines" w:linePitch="312" w:charSpace="0"/>
        </w:sectPr>
      </w:pPr>
    </w:p>
    <w:p w14:paraId="2A9ADE3B">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二、技术和服务要求响应表</w:t>
      </w:r>
    </w:p>
    <w:p w14:paraId="2EE107C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1661"/>
        <w:gridCol w:w="2324"/>
        <w:gridCol w:w="1661"/>
        <w:gridCol w:w="1902"/>
      </w:tblGrid>
      <w:tr w14:paraId="0E5BD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13B9BE2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661" w:type="dxa"/>
            <w:vAlign w:val="center"/>
          </w:tcPr>
          <w:p w14:paraId="65223458">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2324" w:type="dxa"/>
            <w:vAlign w:val="center"/>
          </w:tcPr>
          <w:p w14:paraId="5B7F3CB0">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技术和服务要求</w:t>
            </w:r>
          </w:p>
        </w:tc>
        <w:tc>
          <w:tcPr>
            <w:tcW w:w="1661" w:type="dxa"/>
            <w:vAlign w:val="center"/>
          </w:tcPr>
          <w:p w14:paraId="533C952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投标响应</w:t>
            </w:r>
          </w:p>
        </w:tc>
        <w:tc>
          <w:tcPr>
            <w:tcW w:w="1902" w:type="dxa"/>
            <w:vAlign w:val="center"/>
          </w:tcPr>
          <w:p w14:paraId="3F8C584A">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是否偏离及说明</w:t>
            </w:r>
          </w:p>
        </w:tc>
      </w:tr>
      <w:tr w14:paraId="5C39A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restart"/>
            <w:vAlign w:val="center"/>
          </w:tcPr>
          <w:p w14:paraId="2490DEA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102BADA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324" w:type="dxa"/>
            <w:vAlign w:val="center"/>
          </w:tcPr>
          <w:p w14:paraId="03F71D69">
            <w:pPr>
              <w:spacing w:line="360" w:lineRule="auto"/>
              <w:jc w:val="center"/>
              <w:rPr>
                <w:rFonts w:asciiTheme="minorEastAsia" w:hAnsiTheme="minorEastAsia"/>
                <w:color w:val="auto"/>
                <w:sz w:val="24"/>
                <w:szCs w:val="24"/>
                <w:highlight w:val="none"/>
              </w:rPr>
            </w:pPr>
          </w:p>
        </w:tc>
        <w:tc>
          <w:tcPr>
            <w:tcW w:w="1661" w:type="dxa"/>
            <w:vAlign w:val="center"/>
          </w:tcPr>
          <w:p w14:paraId="7FE8AFB6">
            <w:pPr>
              <w:spacing w:line="360" w:lineRule="auto"/>
              <w:jc w:val="center"/>
              <w:rPr>
                <w:rFonts w:asciiTheme="minorEastAsia" w:hAnsiTheme="minorEastAsia"/>
                <w:color w:val="auto"/>
                <w:sz w:val="24"/>
                <w:szCs w:val="24"/>
                <w:highlight w:val="none"/>
              </w:rPr>
            </w:pPr>
          </w:p>
        </w:tc>
        <w:tc>
          <w:tcPr>
            <w:tcW w:w="1902" w:type="dxa"/>
            <w:vAlign w:val="center"/>
          </w:tcPr>
          <w:p w14:paraId="797376AB">
            <w:pPr>
              <w:spacing w:line="360" w:lineRule="auto"/>
              <w:jc w:val="center"/>
              <w:rPr>
                <w:rFonts w:asciiTheme="minorEastAsia" w:hAnsiTheme="minorEastAsia"/>
                <w:color w:val="auto"/>
                <w:sz w:val="24"/>
                <w:szCs w:val="24"/>
                <w:highlight w:val="none"/>
              </w:rPr>
            </w:pPr>
          </w:p>
        </w:tc>
      </w:tr>
      <w:tr w14:paraId="12A2A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continue"/>
            <w:vAlign w:val="center"/>
          </w:tcPr>
          <w:p w14:paraId="54675407">
            <w:pPr>
              <w:spacing w:line="360" w:lineRule="auto"/>
              <w:jc w:val="center"/>
              <w:rPr>
                <w:rFonts w:asciiTheme="minorEastAsia" w:hAnsiTheme="minorEastAsia"/>
                <w:color w:val="auto"/>
                <w:sz w:val="24"/>
                <w:szCs w:val="24"/>
                <w:highlight w:val="none"/>
              </w:rPr>
            </w:pPr>
          </w:p>
        </w:tc>
        <w:tc>
          <w:tcPr>
            <w:tcW w:w="1661" w:type="dxa"/>
            <w:vAlign w:val="center"/>
          </w:tcPr>
          <w:p w14:paraId="0E0D4D44">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2324" w:type="dxa"/>
            <w:vAlign w:val="center"/>
          </w:tcPr>
          <w:p w14:paraId="63F13B85">
            <w:pPr>
              <w:spacing w:line="360" w:lineRule="auto"/>
              <w:jc w:val="center"/>
              <w:rPr>
                <w:rFonts w:asciiTheme="minorEastAsia" w:hAnsiTheme="minorEastAsia"/>
                <w:color w:val="auto"/>
                <w:sz w:val="24"/>
                <w:szCs w:val="24"/>
                <w:highlight w:val="none"/>
              </w:rPr>
            </w:pPr>
          </w:p>
        </w:tc>
        <w:tc>
          <w:tcPr>
            <w:tcW w:w="1661" w:type="dxa"/>
            <w:vAlign w:val="center"/>
          </w:tcPr>
          <w:p w14:paraId="772D8C2D">
            <w:pPr>
              <w:spacing w:line="360" w:lineRule="auto"/>
              <w:jc w:val="center"/>
              <w:rPr>
                <w:rFonts w:asciiTheme="minorEastAsia" w:hAnsiTheme="minorEastAsia"/>
                <w:color w:val="auto"/>
                <w:sz w:val="24"/>
                <w:szCs w:val="24"/>
                <w:highlight w:val="none"/>
              </w:rPr>
            </w:pPr>
          </w:p>
        </w:tc>
        <w:tc>
          <w:tcPr>
            <w:tcW w:w="1902" w:type="dxa"/>
            <w:vAlign w:val="center"/>
          </w:tcPr>
          <w:p w14:paraId="05A1116C">
            <w:pPr>
              <w:spacing w:line="360" w:lineRule="auto"/>
              <w:jc w:val="center"/>
              <w:rPr>
                <w:rFonts w:asciiTheme="minorEastAsia" w:hAnsiTheme="minorEastAsia"/>
                <w:color w:val="auto"/>
                <w:sz w:val="24"/>
                <w:szCs w:val="24"/>
                <w:highlight w:val="none"/>
              </w:rPr>
            </w:pPr>
          </w:p>
        </w:tc>
      </w:tr>
      <w:tr w14:paraId="42683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2A45C22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1F2F8594">
            <w:pPr>
              <w:spacing w:line="360" w:lineRule="auto"/>
              <w:jc w:val="center"/>
              <w:rPr>
                <w:rFonts w:asciiTheme="minorEastAsia" w:hAnsiTheme="minorEastAsia"/>
                <w:color w:val="auto"/>
                <w:sz w:val="24"/>
                <w:szCs w:val="24"/>
                <w:highlight w:val="none"/>
              </w:rPr>
            </w:pPr>
          </w:p>
        </w:tc>
        <w:tc>
          <w:tcPr>
            <w:tcW w:w="2324" w:type="dxa"/>
            <w:vAlign w:val="center"/>
          </w:tcPr>
          <w:p w14:paraId="10278E59">
            <w:pPr>
              <w:spacing w:line="360" w:lineRule="auto"/>
              <w:jc w:val="center"/>
              <w:rPr>
                <w:rFonts w:asciiTheme="minorEastAsia" w:hAnsiTheme="minorEastAsia"/>
                <w:color w:val="auto"/>
                <w:sz w:val="24"/>
                <w:szCs w:val="24"/>
                <w:highlight w:val="none"/>
              </w:rPr>
            </w:pPr>
          </w:p>
        </w:tc>
        <w:tc>
          <w:tcPr>
            <w:tcW w:w="1661" w:type="dxa"/>
            <w:vAlign w:val="center"/>
          </w:tcPr>
          <w:p w14:paraId="589C6A46">
            <w:pPr>
              <w:spacing w:line="360" w:lineRule="auto"/>
              <w:jc w:val="center"/>
              <w:rPr>
                <w:rFonts w:asciiTheme="minorEastAsia" w:hAnsiTheme="minorEastAsia"/>
                <w:color w:val="auto"/>
                <w:sz w:val="24"/>
                <w:szCs w:val="24"/>
                <w:highlight w:val="none"/>
              </w:rPr>
            </w:pPr>
          </w:p>
        </w:tc>
        <w:tc>
          <w:tcPr>
            <w:tcW w:w="1902" w:type="dxa"/>
            <w:vAlign w:val="center"/>
          </w:tcPr>
          <w:p w14:paraId="509646B0">
            <w:pPr>
              <w:spacing w:line="360" w:lineRule="auto"/>
              <w:jc w:val="center"/>
              <w:rPr>
                <w:rFonts w:asciiTheme="minorEastAsia" w:hAnsiTheme="minorEastAsia"/>
                <w:color w:val="auto"/>
                <w:sz w:val="24"/>
                <w:szCs w:val="24"/>
                <w:highlight w:val="none"/>
              </w:rPr>
            </w:pPr>
          </w:p>
        </w:tc>
      </w:tr>
    </w:tbl>
    <w:p w14:paraId="7374BEE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300F55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43F4CFE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1.1“技术和服务要求”项下填写的内容应与招标文件第五章“技术和服务要求”的内容保持一致。</w:t>
      </w:r>
    </w:p>
    <w:p w14:paraId="3DA7787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3B3DC2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1.3“是否偏离及说明”项下应按下列规定填写：优于的，填写“正偏离”；符合的，填写“无偏离”；低于的，填写“负偏离”。</w:t>
      </w:r>
    </w:p>
    <w:p w14:paraId="5ACE3A1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EC7C21D">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3591FDC">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B3F9847">
      <w:pPr>
        <w:rPr>
          <w:color w:val="auto"/>
          <w:highlight w:val="none"/>
        </w:rPr>
      </w:pPr>
    </w:p>
    <w:p w14:paraId="7F88F61C">
      <w:pPr>
        <w:rPr>
          <w:color w:val="auto"/>
          <w:highlight w:val="none"/>
        </w:rPr>
        <w:sectPr>
          <w:pgSz w:w="11906" w:h="16838"/>
          <w:pgMar w:top="1418" w:right="1418" w:bottom="1418" w:left="1418" w:header="851" w:footer="992" w:gutter="0"/>
          <w:cols w:space="425" w:num="1"/>
          <w:docGrid w:type="lines" w:linePitch="312" w:charSpace="0"/>
        </w:sectPr>
      </w:pPr>
    </w:p>
    <w:p w14:paraId="6592172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三、商务条件响应表</w:t>
      </w:r>
    </w:p>
    <w:p w14:paraId="7FB02E4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188"/>
      </w:tblGrid>
      <w:tr w14:paraId="73FB6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239E3EC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661" w:type="dxa"/>
            <w:vAlign w:val="center"/>
          </w:tcPr>
          <w:p w14:paraId="3412E1F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661" w:type="dxa"/>
            <w:vAlign w:val="center"/>
          </w:tcPr>
          <w:p w14:paraId="0E5B8F3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商务条件</w:t>
            </w:r>
          </w:p>
        </w:tc>
        <w:tc>
          <w:tcPr>
            <w:tcW w:w="1661" w:type="dxa"/>
            <w:vAlign w:val="center"/>
          </w:tcPr>
          <w:p w14:paraId="6676BC9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投标响应</w:t>
            </w:r>
          </w:p>
        </w:tc>
        <w:tc>
          <w:tcPr>
            <w:tcW w:w="2188" w:type="dxa"/>
            <w:vAlign w:val="center"/>
          </w:tcPr>
          <w:p w14:paraId="6D6F16A6">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是否偏离及说明</w:t>
            </w:r>
          </w:p>
        </w:tc>
      </w:tr>
      <w:tr w14:paraId="07DF3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14:paraId="70FCC74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7AC7A134">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661" w:type="dxa"/>
            <w:vAlign w:val="center"/>
          </w:tcPr>
          <w:p w14:paraId="0E2C3982">
            <w:pPr>
              <w:spacing w:line="360" w:lineRule="auto"/>
              <w:jc w:val="center"/>
              <w:rPr>
                <w:rFonts w:asciiTheme="minorEastAsia" w:hAnsiTheme="minorEastAsia"/>
                <w:color w:val="auto"/>
                <w:sz w:val="24"/>
                <w:szCs w:val="24"/>
                <w:highlight w:val="none"/>
              </w:rPr>
            </w:pPr>
          </w:p>
        </w:tc>
        <w:tc>
          <w:tcPr>
            <w:tcW w:w="1661" w:type="dxa"/>
            <w:vAlign w:val="center"/>
          </w:tcPr>
          <w:p w14:paraId="51098265">
            <w:pPr>
              <w:spacing w:line="360" w:lineRule="auto"/>
              <w:jc w:val="center"/>
              <w:rPr>
                <w:rFonts w:asciiTheme="minorEastAsia" w:hAnsiTheme="minorEastAsia"/>
                <w:color w:val="auto"/>
                <w:sz w:val="24"/>
                <w:szCs w:val="24"/>
                <w:highlight w:val="none"/>
              </w:rPr>
            </w:pPr>
          </w:p>
        </w:tc>
        <w:tc>
          <w:tcPr>
            <w:tcW w:w="2188" w:type="dxa"/>
            <w:vAlign w:val="center"/>
          </w:tcPr>
          <w:p w14:paraId="4C918D1A">
            <w:pPr>
              <w:spacing w:line="360" w:lineRule="auto"/>
              <w:jc w:val="center"/>
              <w:rPr>
                <w:rFonts w:asciiTheme="minorEastAsia" w:hAnsiTheme="minorEastAsia"/>
                <w:color w:val="auto"/>
                <w:sz w:val="24"/>
                <w:szCs w:val="24"/>
                <w:highlight w:val="none"/>
              </w:rPr>
            </w:pPr>
          </w:p>
        </w:tc>
      </w:tr>
      <w:tr w14:paraId="7353E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14:paraId="1AC63A77">
            <w:pPr>
              <w:spacing w:line="360" w:lineRule="auto"/>
              <w:jc w:val="center"/>
              <w:rPr>
                <w:rFonts w:asciiTheme="minorEastAsia" w:hAnsiTheme="minorEastAsia"/>
                <w:color w:val="auto"/>
                <w:sz w:val="24"/>
                <w:szCs w:val="24"/>
                <w:highlight w:val="none"/>
              </w:rPr>
            </w:pPr>
          </w:p>
        </w:tc>
        <w:tc>
          <w:tcPr>
            <w:tcW w:w="1661" w:type="dxa"/>
            <w:vAlign w:val="center"/>
          </w:tcPr>
          <w:p w14:paraId="2F877CB8">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2109A873">
            <w:pPr>
              <w:spacing w:line="360" w:lineRule="auto"/>
              <w:jc w:val="center"/>
              <w:rPr>
                <w:rFonts w:asciiTheme="minorEastAsia" w:hAnsiTheme="minorEastAsia"/>
                <w:color w:val="auto"/>
                <w:sz w:val="24"/>
                <w:szCs w:val="24"/>
                <w:highlight w:val="none"/>
              </w:rPr>
            </w:pPr>
          </w:p>
        </w:tc>
        <w:tc>
          <w:tcPr>
            <w:tcW w:w="1661" w:type="dxa"/>
            <w:vAlign w:val="center"/>
          </w:tcPr>
          <w:p w14:paraId="45209FAB">
            <w:pPr>
              <w:spacing w:line="360" w:lineRule="auto"/>
              <w:jc w:val="center"/>
              <w:rPr>
                <w:rFonts w:asciiTheme="minorEastAsia" w:hAnsiTheme="minorEastAsia"/>
                <w:color w:val="auto"/>
                <w:sz w:val="24"/>
                <w:szCs w:val="24"/>
                <w:highlight w:val="none"/>
              </w:rPr>
            </w:pPr>
          </w:p>
        </w:tc>
        <w:tc>
          <w:tcPr>
            <w:tcW w:w="2188" w:type="dxa"/>
            <w:vAlign w:val="center"/>
          </w:tcPr>
          <w:p w14:paraId="04F3FC03">
            <w:pPr>
              <w:spacing w:line="360" w:lineRule="auto"/>
              <w:jc w:val="center"/>
              <w:rPr>
                <w:rFonts w:asciiTheme="minorEastAsia" w:hAnsiTheme="minorEastAsia"/>
                <w:color w:val="auto"/>
                <w:sz w:val="24"/>
                <w:szCs w:val="24"/>
                <w:highlight w:val="none"/>
              </w:rPr>
            </w:pPr>
          </w:p>
        </w:tc>
      </w:tr>
      <w:tr w14:paraId="479C5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3114AAD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73998DFC">
            <w:pPr>
              <w:spacing w:line="360" w:lineRule="auto"/>
              <w:jc w:val="center"/>
              <w:rPr>
                <w:rFonts w:asciiTheme="minorEastAsia" w:hAnsiTheme="minorEastAsia"/>
                <w:color w:val="auto"/>
                <w:sz w:val="24"/>
                <w:szCs w:val="24"/>
                <w:highlight w:val="none"/>
              </w:rPr>
            </w:pPr>
          </w:p>
        </w:tc>
        <w:tc>
          <w:tcPr>
            <w:tcW w:w="1661" w:type="dxa"/>
            <w:vAlign w:val="center"/>
          </w:tcPr>
          <w:p w14:paraId="119C6689">
            <w:pPr>
              <w:spacing w:line="360" w:lineRule="auto"/>
              <w:jc w:val="center"/>
              <w:rPr>
                <w:rFonts w:asciiTheme="minorEastAsia" w:hAnsiTheme="minorEastAsia"/>
                <w:color w:val="auto"/>
                <w:sz w:val="24"/>
                <w:szCs w:val="24"/>
                <w:highlight w:val="none"/>
              </w:rPr>
            </w:pPr>
          </w:p>
        </w:tc>
        <w:tc>
          <w:tcPr>
            <w:tcW w:w="1661" w:type="dxa"/>
            <w:vAlign w:val="center"/>
          </w:tcPr>
          <w:p w14:paraId="3844349E">
            <w:pPr>
              <w:spacing w:line="360" w:lineRule="auto"/>
              <w:jc w:val="center"/>
              <w:rPr>
                <w:rFonts w:asciiTheme="minorEastAsia" w:hAnsiTheme="minorEastAsia"/>
                <w:color w:val="auto"/>
                <w:sz w:val="24"/>
                <w:szCs w:val="24"/>
                <w:highlight w:val="none"/>
              </w:rPr>
            </w:pPr>
          </w:p>
        </w:tc>
        <w:tc>
          <w:tcPr>
            <w:tcW w:w="2188" w:type="dxa"/>
            <w:vAlign w:val="center"/>
          </w:tcPr>
          <w:p w14:paraId="4F7CA433">
            <w:pPr>
              <w:spacing w:line="360" w:lineRule="auto"/>
              <w:jc w:val="center"/>
              <w:rPr>
                <w:rFonts w:asciiTheme="minorEastAsia" w:hAnsiTheme="minorEastAsia"/>
                <w:color w:val="auto"/>
                <w:sz w:val="24"/>
                <w:szCs w:val="24"/>
                <w:highlight w:val="none"/>
              </w:rPr>
            </w:pPr>
          </w:p>
        </w:tc>
      </w:tr>
    </w:tbl>
    <w:p w14:paraId="593D4F0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7252AE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57EBAE3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1.1“商务条件”项下填写的内容应与招标文件第五章“商务条件”的内容保持一致。</w:t>
      </w:r>
    </w:p>
    <w:p w14:paraId="28839E9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56ACC03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1.3“是否偏离及说明”项下应按下列规定填写：优于的，填写“正偏离”；符合的，填写“无偏离”；低于的，填写“负偏离”。</w:t>
      </w:r>
    </w:p>
    <w:p w14:paraId="272ED02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3ED665E2">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7B8BCBD">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62F8E644">
      <w:pPr>
        <w:rPr>
          <w:color w:val="auto"/>
          <w:highlight w:val="none"/>
        </w:rPr>
      </w:pPr>
    </w:p>
    <w:p w14:paraId="6FE7E2C9">
      <w:pPr>
        <w:rPr>
          <w:color w:val="auto"/>
          <w:highlight w:val="none"/>
        </w:rPr>
        <w:sectPr>
          <w:pgSz w:w="11906" w:h="16838"/>
          <w:pgMar w:top="1418" w:right="1418" w:bottom="1418" w:left="1418" w:header="851" w:footer="992" w:gutter="0"/>
          <w:cols w:space="425" w:num="1"/>
          <w:docGrid w:type="lines" w:linePitch="312" w:charSpace="0"/>
        </w:sectPr>
      </w:pPr>
    </w:p>
    <w:p w14:paraId="2582DFE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四、投标人提交的其他资料（若有）</w:t>
      </w:r>
    </w:p>
    <w:p w14:paraId="57B14E5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3E3E4CD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1、招标文件要求提交的除“资格及资信证明部分”、“报价部分”外的其他证明材料或资料加盖投标人的单位公章后应在此项下提交。</w:t>
      </w:r>
    </w:p>
    <w:p w14:paraId="007A3C9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2、招标文件要求投标人提供方案（包括但不限于：组织、实施、技术、服务方案等）的，投标人应在此项下提交。</w:t>
      </w:r>
    </w:p>
    <w:p w14:paraId="7B78329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3、除招标文件另有规定外，投标人认为需要提交的其他证明材料或资料加盖投标人的单位公章后应在此项下提交。</w:t>
      </w:r>
    </w:p>
    <w:p w14:paraId="752C7F50">
      <w:pPr>
        <w:rPr>
          <w:color w:val="auto"/>
          <w:highlight w:val="none"/>
        </w:rPr>
      </w:pPr>
    </w:p>
    <w:p w14:paraId="702BC964">
      <w:pPr>
        <w:rPr>
          <w:color w:val="auto"/>
          <w:highlight w:val="none"/>
        </w:rPr>
      </w:pPr>
    </w:p>
    <w:p w14:paraId="7F8D22CE">
      <w:pPr>
        <w:rPr>
          <w:color w:val="auto"/>
          <w:highlight w:val="none"/>
        </w:rPr>
      </w:pPr>
    </w:p>
    <w:bookmarkEnd w:id="34"/>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EC550">
    <w:pPr>
      <w:pStyle w:val="11"/>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41</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113</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075B">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113</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113</w:t>
    </w:r>
    <w:r>
      <w:rPr>
        <w:rFonts w:ascii="宋体" w:hAnsi="宋体"/>
        <w:sz w:val="24"/>
        <w:szCs w:val="18"/>
      </w:rPr>
      <w:fldChar w:fldCharType="end"/>
    </w:r>
    <w:r>
      <w:rPr>
        <w:rFonts w:hint="eastAsia" w:ascii="宋体" w:hAnsi="宋体"/>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F66FB">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42</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113</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0AAD7"/>
    <w:multiLevelType w:val="singleLevel"/>
    <w:tmpl w:val="CEB0AAD7"/>
    <w:lvl w:ilvl="0" w:tentative="0">
      <w:start w:val="1"/>
      <w:numFmt w:val="decimal"/>
      <w:suff w:val="nothing"/>
      <w:lvlText w:val="1-%1."/>
      <w:lvlJc w:val="left"/>
      <w:pPr>
        <w:ind w:left="0" w:leftChars="0" w:firstLine="0" w:firstLineChars="0"/>
      </w:pPr>
      <w:rPr>
        <w:rFonts w:hint="default"/>
      </w:rPr>
    </w:lvl>
  </w:abstractNum>
  <w:abstractNum w:abstractNumId="1">
    <w:nsid w:val="E860AF08"/>
    <w:multiLevelType w:val="multilevel"/>
    <w:tmpl w:val="E860AF08"/>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425" w:firstLineChars="0"/>
      </w:pPr>
      <w:rPr>
        <w:rFonts w:hint="default"/>
        <w:b w:val="0"/>
        <w:bCs w:val="0"/>
        <w:sz w:val="24"/>
        <w:szCs w:val="24"/>
      </w:rPr>
    </w:lvl>
    <w:lvl w:ilvl="2" w:tentative="0">
      <w:start w:val="1"/>
      <w:numFmt w:val="decimal"/>
      <w:suff w:val="nothing"/>
      <w:lvlText w:val="%1.%2.%3."/>
      <w:lvlJc w:val="left"/>
      <w:pPr>
        <w:ind w:left="0" w:leftChars="0" w:firstLine="709" w:firstLineChars="0"/>
      </w:pPr>
      <w:rPr>
        <w:rFonts w:hint="default"/>
      </w:rPr>
    </w:lvl>
    <w:lvl w:ilvl="3" w:tentative="0">
      <w:start w:val="1"/>
      <w:numFmt w:val="decimal"/>
      <w:suff w:val="nothing"/>
      <w:lvlText w:val="%1.%2.%3.%4."/>
      <w:lvlJc w:val="left"/>
      <w:pPr>
        <w:ind w:left="0" w:leftChars="0" w:firstLine="992" w:firstLineChars="0"/>
      </w:pPr>
      <w:rPr>
        <w:rFonts w:hint="default"/>
      </w:rPr>
    </w:lvl>
    <w:lvl w:ilvl="4" w:tentative="0">
      <w:start w:val="1"/>
      <w:numFmt w:val="decimal"/>
      <w:suff w:val="nothing"/>
      <w:lvlText w:val="%1.%2.%3.%4.%5."/>
      <w:lvlJc w:val="left"/>
      <w:pPr>
        <w:ind w:left="0" w:leftChars="0" w:firstLine="1276" w:firstLineChars="0"/>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OTU4MzJkMDNjNjU1ZDkxNjE1OWY0YjI0OTcifQ=="/>
  </w:docVars>
  <w:rsids>
    <w:rsidRoot w:val="00C377A6"/>
    <w:rsid w:val="00000EB7"/>
    <w:rsid w:val="00007EAA"/>
    <w:rsid w:val="00010A69"/>
    <w:rsid w:val="00011089"/>
    <w:rsid w:val="00014914"/>
    <w:rsid w:val="00015FDA"/>
    <w:rsid w:val="00017248"/>
    <w:rsid w:val="000179A6"/>
    <w:rsid w:val="0003084B"/>
    <w:rsid w:val="00030D6E"/>
    <w:rsid w:val="000315A6"/>
    <w:rsid w:val="000364C3"/>
    <w:rsid w:val="000413A1"/>
    <w:rsid w:val="000414DE"/>
    <w:rsid w:val="000427FA"/>
    <w:rsid w:val="00042BAD"/>
    <w:rsid w:val="00042C55"/>
    <w:rsid w:val="0004365E"/>
    <w:rsid w:val="000440E5"/>
    <w:rsid w:val="0004441F"/>
    <w:rsid w:val="000452B0"/>
    <w:rsid w:val="00045DE6"/>
    <w:rsid w:val="00047C7D"/>
    <w:rsid w:val="00051CEA"/>
    <w:rsid w:val="000527EB"/>
    <w:rsid w:val="00053367"/>
    <w:rsid w:val="00056AEA"/>
    <w:rsid w:val="0006129C"/>
    <w:rsid w:val="00061623"/>
    <w:rsid w:val="00063D22"/>
    <w:rsid w:val="00064733"/>
    <w:rsid w:val="0006512B"/>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46B1"/>
    <w:rsid w:val="0009610C"/>
    <w:rsid w:val="000A046A"/>
    <w:rsid w:val="000A0ADD"/>
    <w:rsid w:val="000A11D6"/>
    <w:rsid w:val="000A48A9"/>
    <w:rsid w:val="000A55A2"/>
    <w:rsid w:val="000A5765"/>
    <w:rsid w:val="000B2B9A"/>
    <w:rsid w:val="000B4699"/>
    <w:rsid w:val="000B4C68"/>
    <w:rsid w:val="000B518F"/>
    <w:rsid w:val="000B5263"/>
    <w:rsid w:val="000B67E3"/>
    <w:rsid w:val="000C1368"/>
    <w:rsid w:val="000C1704"/>
    <w:rsid w:val="000C4E1F"/>
    <w:rsid w:val="000D1041"/>
    <w:rsid w:val="000D1BCF"/>
    <w:rsid w:val="000D2697"/>
    <w:rsid w:val="000D2C05"/>
    <w:rsid w:val="000D3266"/>
    <w:rsid w:val="000D39C4"/>
    <w:rsid w:val="000D52A1"/>
    <w:rsid w:val="000D5604"/>
    <w:rsid w:val="000D5AE8"/>
    <w:rsid w:val="000E1F7E"/>
    <w:rsid w:val="000E7943"/>
    <w:rsid w:val="000F69F7"/>
    <w:rsid w:val="000F6D4D"/>
    <w:rsid w:val="0010152C"/>
    <w:rsid w:val="001029D4"/>
    <w:rsid w:val="00103A51"/>
    <w:rsid w:val="00104230"/>
    <w:rsid w:val="00104302"/>
    <w:rsid w:val="00105554"/>
    <w:rsid w:val="00110FFE"/>
    <w:rsid w:val="00111AC6"/>
    <w:rsid w:val="00113431"/>
    <w:rsid w:val="00116940"/>
    <w:rsid w:val="001172F6"/>
    <w:rsid w:val="00117ED0"/>
    <w:rsid w:val="00120A3A"/>
    <w:rsid w:val="0012146C"/>
    <w:rsid w:val="00121846"/>
    <w:rsid w:val="00126BE6"/>
    <w:rsid w:val="0012724A"/>
    <w:rsid w:val="001275FF"/>
    <w:rsid w:val="00132854"/>
    <w:rsid w:val="001366CA"/>
    <w:rsid w:val="00140F13"/>
    <w:rsid w:val="00142BED"/>
    <w:rsid w:val="00143667"/>
    <w:rsid w:val="001507B7"/>
    <w:rsid w:val="00152B00"/>
    <w:rsid w:val="001532C3"/>
    <w:rsid w:val="001570CA"/>
    <w:rsid w:val="00157575"/>
    <w:rsid w:val="00161CBA"/>
    <w:rsid w:val="00161EE4"/>
    <w:rsid w:val="00170E34"/>
    <w:rsid w:val="00170E42"/>
    <w:rsid w:val="0017303F"/>
    <w:rsid w:val="00173B94"/>
    <w:rsid w:val="00174F71"/>
    <w:rsid w:val="001754E5"/>
    <w:rsid w:val="001761B6"/>
    <w:rsid w:val="00177269"/>
    <w:rsid w:val="001779DC"/>
    <w:rsid w:val="00177A46"/>
    <w:rsid w:val="00177D07"/>
    <w:rsid w:val="00183A0C"/>
    <w:rsid w:val="00183BA3"/>
    <w:rsid w:val="00185564"/>
    <w:rsid w:val="00185721"/>
    <w:rsid w:val="00186F97"/>
    <w:rsid w:val="00190545"/>
    <w:rsid w:val="00191DAD"/>
    <w:rsid w:val="001944B2"/>
    <w:rsid w:val="0019641C"/>
    <w:rsid w:val="001969A6"/>
    <w:rsid w:val="00196B6A"/>
    <w:rsid w:val="00197051"/>
    <w:rsid w:val="001A0E82"/>
    <w:rsid w:val="001A0FFC"/>
    <w:rsid w:val="001A26B3"/>
    <w:rsid w:val="001A3E78"/>
    <w:rsid w:val="001A54F3"/>
    <w:rsid w:val="001A736A"/>
    <w:rsid w:val="001A7406"/>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7012"/>
    <w:rsid w:val="001C773D"/>
    <w:rsid w:val="001C7D76"/>
    <w:rsid w:val="001D053B"/>
    <w:rsid w:val="001D1FC2"/>
    <w:rsid w:val="001D4A89"/>
    <w:rsid w:val="001D4AD2"/>
    <w:rsid w:val="001D4AF7"/>
    <w:rsid w:val="001D5E01"/>
    <w:rsid w:val="001D7BA8"/>
    <w:rsid w:val="001E02C7"/>
    <w:rsid w:val="001E031E"/>
    <w:rsid w:val="001E084F"/>
    <w:rsid w:val="001E11F0"/>
    <w:rsid w:val="001E12E2"/>
    <w:rsid w:val="001E16E8"/>
    <w:rsid w:val="001E4650"/>
    <w:rsid w:val="001E572B"/>
    <w:rsid w:val="001E64B9"/>
    <w:rsid w:val="001E73AB"/>
    <w:rsid w:val="001E744C"/>
    <w:rsid w:val="001E7F42"/>
    <w:rsid w:val="001F2728"/>
    <w:rsid w:val="001F2E0B"/>
    <w:rsid w:val="001F4AE4"/>
    <w:rsid w:val="001F4B44"/>
    <w:rsid w:val="001F5002"/>
    <w:rsid w:val="001F7D56"/>
    <w:rsid w:val="00201AFF"/>
    <w:rsid w:val="00202D71"/>
    <w:rsid w:val="002035B5"/>
    <w:rsid w:val="0020604E"/>
    <w:rsid w:val="002073B8"/>
    <w:rsid w:val="002100C5"/>
    <w:rsid w:val="00214BAD"/>
    <w:rsid w:val="002176BF"/>
    <w:rsid w:val="00220430"/>
    <w:rsid w:val="002230F0"/>
    <w:rsid w:val="00223DA8"/>
    <w:rsid w:val="00224BCD"/>
    <w:rsid w:val="00225178"/>
    <w:rsid w:val="00225192"/>
    <w:rsid w:val="00226B0A"/>
    <w:rsid w:val="00230CB4"/>
    <w:rsid w:val="0023573F"/>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7417C"/>
    <w:rsid w:val="0027626D"/>
    <w:rsid w:val="00277161"/>
    <w:rsid w:val="00280763"/>
    <w:rsid w:val="002812F1"/>
    <w:rsid w:val="00283DDB"/>
    <w:rsid w:val="00283EC7"/>
    <w:rsid w:val="0028505F"/>
    <w:rsid w:val="00285CCF"/>
    <w:rsid w:val="0028674D"/>
    <w:rsid w:val="0029008A"/>
    <w:rsid w:val="00291F2D"/>
    <w:rsid w:val="00292018"/>
    <w:rsid w:val="00293239"/>
    <w:rsid w:val="00297900"/>
    <w:rsid w:val="002A0F68"/>
    <w:rsid w:val="002A2A10"/>
    <w:rsid w:val="002A4F5E"/>
    <w:rsid w:val="002A56C1"/>
    <w:rsid w:val="002A6A3B"/>
    <w:rsid w:val="002B00D6"/>
    <w:rsid w:val="002B1D56"/>
    <w:rsid w:val="002B1DE9"/>
    <w:rsid w:val="002B32E8"/>
    <w:rsid w:val="002B38AF"/>
    <w:rsid w:val="002B53E1"/>
    <w:rsid w:val="002B5FE5"/>
    <w:rsid w:val="002C1993"/>
    <w:rsid w:val="002C1A77"/>
    <w:rsid w:val="002C1C56"/>
    <w:rsid w:val="002C3DC5"/>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05A73"/>
    <w:rsid w:val="00307C04"/>
    <w:rsid w:val="003108CA"/>
    <w:rsid w:val="00312742"/>
    <w:rsid w:val="00314B4C"/>
    <w:rsid w:val="00315A1F"/>
    <w:rsid w:val="00317B8B"/>
    <w:rsid w:val="00320700"/>
    <w:rsid w:val="00321934"/>
    <w:rsid w:val="00322186"/>
    <w:rsid w:val="00322545"/>
    <w:rsid w:val="00323339"/>
    <w:rsid w:val="00324068"/>
    <w:rsid w:val="00325A10"/>
    <w:rsid w:val="00332DB9"/>
    <w:rsid w:val="0033497F"/>
    <w:rsid w:val="00335DB5"/>
    <w:rsid w:val="00335F72"/>
    <w:rsid w:val="0033732B"/>
    <w:rsid w:val="003374D2"/>
    <w:rsid w:val="00337753"/>
    <w:rsid w:val="00337CFE"/>
    <w:rsid w:val="003425F3"/>
    <w:rsid w:val="00346752"/>
    <w:rsid w:val="003473A0"/>
    <w:rsid w:val="00347BEC"/>
    <w:rsid w:val="00350FB7"/>
    <w:rsid w:val="00351EF6"/>
    <w:rsid w:val="003520F3"/>
    <w:rsid w:val="00352533"/>
    <w:rsid w:val="00352DEF"/>
    <w:rsid w:val="003537A4"/>
    <w:rsid w:val="00355656"/>
    <w:rsid w:val="003602F2"/>
    <w:rsid w:val="00362BA5"/>
    <w:rsid w:val="003653F3"/>
    <w:rsid w:val="00366786"/>
    <w:rsid w:val="0037424B"/>
    <w:rsid w:val="00375FA4"/>
    <w:rsid w:val="00381372"/>
    <w:rsid w:val="00381C3C"/>
    <w:rsid w:val="00385AE6"/>
    <w:rsid w:val="003864A5"/>
    <w:rsid w:val="00387647"/>
    <w:rsid w:val="00387CEE"/>
    <w:rsid w:val="00391832"/>
    <w:rsid w:val="00397AC7"/>
    <w:rsid w:val="003A06BD"/>
    <w:rsid w:val="003A0E8B"/>
    <w:rsid w:val="003A2BF5"/>
    <w:rsid w:val="003A4168"/>
    <w:rsid w:val="003A5632"/>
    <w:rsid w:val="003B29EB"/>
    <w:rsid w:val="003B2F7A"/>
    <w:rsid w:val="003B6D97"/>
    <w:rsid w:val="003B6E05"/>
    <w:rsid w:val="003B78F6"/>
    <w:rsid w:val="003C042E"/>
    <w:rsid w:val="003C51EB"/>
    <w:rsid w:val="003C6121"/>
    <w:rsid w:val="003C66E4"/>
    <w:rsid w:val="003C7873"/>
    <w:rsid w:val="003D101F"/>
    <w:rsid w:val="003D255E"/>
    <w:rsid w:val="003D4F2E"/>
    <w:rsid w:val="003D5286"/>
    <w:rsid w:val="003D6ECE"/>
    <w:rsid w:val="003E00EF"/>
    <w:rsid w:val="003E0F35"/>
    <w:rsid w:val="003E1B58"/>
    <w:rsid w:val="003E1B8E"/>
    <w:rsid w:val="003E29D1"/>
    <w:rsid w:val="003E37FC"/>
    <w:rsid w:val="003E786F"/>
    <w:rsid w:val="003F1E08"/>
    <w:rsid w:val="003F1E76"/>
    <w:rsid w:val="003F4D22"/>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51AA"/>
    <w:rsid w:val="00436A0E"/>
    <w:rsid w:val="004404B8"/>
    <w:rsid w:val="0044165F"/>
    <w:rsid w:val="004437B8"/>
    <w:rsid w:val="00453736"/>
    <w:rsid w:val="004548BE"/>
    <w:rsid w:val="004566C6"/>
    <w:rsid w:val="00456E70"/>
    <w:rsid w:val="00461D53"/>
    <w:rsid w:val="00461FEF"/>
    <w:rsid w:val="00463974"/>
    <w:rsid w:val="00464654"/>
    <w:rsid w:val="00472878"/>
    <w:rsid w:val="004733A6"/>
    <w:rsid w:val="0047451C"/>
    <w:rsid w:val="00474C24"/>
    <w:rsid w:val="0047720C"/>
    <w:rsid w:val="00477571"/>
    <w:rsid w:val="004775FD"/>
    <w:rsid w:val="00481A28"/>
    <w:rsid w:val="00482190"/>
    <w:rsid w:val="004836EE"/>
    <w:rsid w:val="00484D04"/>
    <w:rsid w:val="004855C1"/>
    <w:rsid w:val="004862EF"/>
    <w:rsid w:val="004913DC"/>
    <w:rsid w:val="004914E2"/>
    <w:rsid w:val="0049472B"/>
    <w:rsid w:val="00494DC2"/>
    <w:rsid w:val="00496BBA"/>
    <w:rsid w:val="004976A8"/>
    <w:rsid w:val="004A56F8"/>
    <w:rsid w:val="004A6AB8"/>
    <w:rsid w:val="004B01AD"/>
    <w:rsid w:val="004B150B"/>
    <w:rsid w:val="004B3435"/>
    <w:rsid w:val="004B5468"/>
    <w:rsid w:val="004B6D62"/>
    <w:rsid w:val="004B771E"/>
    <w:rsid w:val="004C1CC7"/>
    <w:rsid w:val="004C3A90"/>
    <w:rsid w:val="004C4A5F"/>
    <w:rsid w:val="004C71F1"/>
    <w:rsid w:val="004D0AEF"/>
    <w:rsid w:val="004D0DB0"/>
    <w:rsid w:val="004D20EB"/>
    <w:rsid w:val="004E2617"/>
    <w:rsid w:val="004E5994"/>
    <w:rsid w:val="004F44A5"/>
    <w:rsid w:val="004F4941"/>
    <w:rsid w:val="004F5E98"/>
    <w:rsid w:val="005002C3"/>
    <w:rsid w:val="00501FF9"/>
    <w:rsid w:val="00503814"/>
    <w:rsid w:val="005049A5"/>
    <w:rsid w:val="00504A56"/>
    <w:rsid w:val="005060BE"/>
    <w:rsid w:val="0051113C"/>
    <w:rsid w:val="00512FEF"/>
    <w:rsid w:val="005140FD"/>
    <w:rsid w:val="00515D38"/>
    <w:rsid w:val="00515FD8"/>
    <w:rsid w:val="0051676B"/>
    <w:rsid w:val="00516ED8"/>
    <w:rsid w:val="005213CC"/>
    <w:rsid w:val="005244FD"/>
    <w:rsid w:val="00527656"/>
    <w:rsid w:val="005301F5"/>
    <w:rsid w:val="00531074"/>
    <w:rsid w:val="005318FE"/>
    <w:rsid w:val="00532D16"/>
    <w:rsid w:val="00540F2C"/>
    <w:rsid w:val="005426EB"/>
    <w:rsid w:val="005434B2"/>
    <w:rsid w:val="005463EF"/>
    <w:rsid w:val="005475CF"/>
    <w:rsid w:val="005555A2"/>
    <w:rsid w:val="00555B71"/>
    <w:rsid w:val="00557EE7"/>
    <w:rsid w:val="00560993"/>
    <w:rsid w:val="00560BD8"/>
    <w:rsid w:val="0056185F"/>
    <w:rsid w:val="0056193A"/>
    <w:rsid w:val="00561F7B"/>
    <w:rsid w:val="00565747"/>
    <w:rsid w:val="00567B43"/>
    <w:rsid w:val="00570030"/>
    <w:rsid w:val="0057160D"/>
    <w:rsid w:val="00573F4D"/>
    <w:rsid w:val="00574179"/>
    <w:rsid w:val="00575AA1"/>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42BC"/>
    <w:rsid w:val="005B479C"/>
    <w:rsid w:val="005B7762"/>
    <w:rsid w:val="005B7C08"/>
    <w:rsid w:val="005C2A55"/>
    <w:rsid w:val="005C388D"/>
    <w:rsid w:val="005C5031"/>
    <w:rsid w:val="005D1F64"/>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37C5"/>
    <w:rsid w:val="00614DFA"/>
    <w:rsid w:val="00616D4D"/>
    <w:rsid w:val="0062091D"/>
    <w:rsid w:val="00625609"/>
    <w:rsid w:val="006265E9"/>
    <w:rsid w:val="006267EA"/>
    <w:rsid w:val="00627AC2"/>
    <w:rsid w:val="00630033"/>
    <w:rsid w:val="00631867"/>
    <w:rsid w:val="00631B8B"/>
    <w:rsid w:val="00631BB9"/>
    <w:rsid w:val="00631BCE"/>
    <w:rsid w:val="00631C25"/>
    <w:rsid w:val="00632EFC"/>
    <w:rsid w:val="006332A3"/>
    <w:rsid w:val="00633739"/>
    <w:rsid w:val="00634B89"/>
    <w:rsid w:val="006375CA"/>
    <w:rsid w:val="0064156B"/>
    <w:rsid w:val="00644715"/>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C41"/>
    <w:rsid w:val="006653EC"/>
    <w:rsid w:val="00666452"/>
    <w:rsid w:val="00670ADD"/>
    <w:rsid w:val="00671AEE"/>
    <w:rsid w:val="00671E07"/>
    <w:rsid w:val="0067297A"/>
    <w:rsid w:val="00675A6D"/>
    <w:rsid w:val="00675F1F"/>
    <w:rsid w:val="006808A3"/>
    <w:rsid w:val="0068137A"/>
    <w:rsid w:val="0068242C"/>
    <w:rsid w:val="006845A8"/>
    <w:rsid w:val="00684E30"/>
    <w:rsid w:val="00687853"/>
    <w:rsid w:val="00690130"/>
    <w:rsid w:val="0069088F"/>
    <w:rsid w:val="00692BC0"/>
    <w:rsid w:val="00692C82"/>
    <w:rsid w:val="00693856"/>
    <w:rsid w:val="006941E3"/>
    <w:rsid w:val="00697125"/>
    <w:rsid w:val="006976BC"/>
    <w:rsid w:val="006A42FC"/>
    <w:rsid w:val="006A45E2"/>
    <w:rsid w:val="006A49CD"/>
    <w:rsid w:val="006A5070"/>
    <w:rsid w:val="006A746C"/>
    <w:rsid w:val="006A753B"/>
    <w:rsid w:val="006B08EF"/>
    <w:rsid w:val="006B2A04"/>
    <w:rsid w:val="006B413E"/>
    <w:rsid w:val="006B458D"/>
    <w:rsid w:val="006C0262"/>
    <w:rsid w:val="006C0B1C"/>
    <w:rsid w:val="006C0EA5"/>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492E"/>
    <w:rsid w:val="007152F3"/>
    <w:rsid w:val="007156B6"/>
    <w:rsid w:val="00717B59"/>
    <w:rsid w:val="007228AB"/>
    <w:rsid w:val="00722AFB"/>
    <w:rsid w:val="00723B39"/>
    <w:rsid w:val="00731235"/>
    <w:rsid w:val="0073133B"/>
    <w:rsid w:val="00733204"/>
    <w:rsid w:val="007344A9"/>
    <w:rsid w:val="0073472F"/>
    <w:rsid w:val="00734D0F"/>
    <w:rsid w:val="00737EA4"/>
    <w:rsid w:val="007400B1"/>
    <w:rsid w:val="007409FC"/>
    <w:rsid w:val="00740A41"/>
    <w:rsid w:val="00747360"/>
    <w:rsid w:val="00753336"/>
    <w:rsid w:val="00755C66"/>
    <w:rsid w:val="007563CC"/>
    <w:rsid w:val="00762649"/>
    <w:rsid w:val="00762F8A"/>
    <w:rsid w:val="007660C1"/>
    <w:rsid w:val="007702B6"/>
    <w:rsid w:val="007762CD"/>
    <w:rsid w:val="00777EE1"/>
    <w:rsid w:val="00780517"/>
    <w:rsid w:val="00781A27"/>
    <w:rsid w:val="0078261C"/>
    <w:rsid w:val="007846C6"/>
    <w:rsid w:val="007911FE"/>
    <w:rsid w:val="00791578"/>
    <w:rsid w:val="00793563"/>
    <w:rsid w:val="00796259"/>
    <w:rsid w:val="00796F26"/>
    <w:rsid w:val="007A19B6"/>
    <w:rsid w:val="007A20F4"/>
    <w:rsid w:val="007A3304"/>
    <w:rsid w:val="007A3F10"/>
    <w:rsid w:val="007A42F7"/>
    <w:rsid w:val="007A7E47"/>
    <w:rsid w:val="007B05AC"/>
    <w:rsid w:val="007B0FD1"/>
    <w:rsid w:val="007B225E"/>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51F1"/>
    <w:rsid w:val="007E5344"/>
    <w:rsid w:val="007E599F"/>
    <w:rsid w:val="007E6B80"/>
    <w:rsid w:val="007E782F"/>
    <w:rsid w:val="007F0288"/>
    <w:rsid w:val="007F03DF"/>
    <w:rsid w:val="007F0913"/>
    <w:rsid w:val="007F14D4"/>
    <w:rsid w:val="007F1FEA"/>
    <w:rsid w:val="007F6166"/>
    <w:rsid w:val="007F63E9"/>
    <w:rsid w:val="008047FE"/>
    <w:rsid w:val="00804874"/>
    <w:rsid w:val="008054D0"/>
    <w:rsid w:val="008122A6"/>
    <w:rsid w:val="008122B5"/>
    <w:rsid w:val="0081764E"/>
    <w:rsid w:val="008225F0"/>
    <w:rsid w:val="008232D0"/>
    <w:rsid w:val="00823CE9"/>
    <w:rsid w:val="00823EA0"/>
    <w:rsid w:val="00826371"/>
    <w:rsid w:val="008264CA"/>
    <w:rsid w:val="00831CF7"/>
    <w:rsid w:val="00831E72"/>
    <w:rsid w:val="00837727"/>
    <w:rsid w:val="00837B77"/>
    <w:rsid w:val="008438D9"/>
    <w:rsid w:val="00844BD0"/>
    <w:rsid w:val="00845004"/>
    <w:rsid w:val="00845A3F"/>
    <w:rsid w:val="00846431"/>
    <w:rsid w:val="00847187"/>
    <w:rsid w:val="0085015F"/>
    <w:rsid w:val="0085219C"/>
    <w:rsid w:val="0085290C"/>
    <w:rsid w:val="00852BEA"/>
    <w:rsid w:val="00854BC9"/>
    <w:rsid w:val="00855917"/>
    <w:rsid w:val="00856889"/>
    <w:rsid w:val="00856F0F"/>
    <w:rsid w:val="00857E3A"/>
    <w:rsid w:val="008601A7"/>
    <w:rsid w:val="008609B8"/>
    <w:rsid w:val="00860B1A"/>
    <w:rsid w:val="00861270"/>
    <w:rsid w:val="008616B2"/>
    <w:rsid w:val="00866A7F"/>
    <w:rsid w:val="0087128A"/>
    <w:rsid w:val="0087426A"/>
    <w:rsid w:val="00875C20"/>
    <w:rsid w:val="0087633E"/>
    <w:rsid w:val="008843DA"/>
    <w:rsid w:val="008847DD"/>
    <w:rsid w:val="0088641D"/>
    <w:rsid w:val="00886A12"/>
    <w:rsid w:val="00890C16"/>
    <w:rsid w:val="00891EB6"/>
    <w:rsid w:val="0089671D"/>
    <w:rsid w:val="008976D3"/>
    <w:rsid w:val="008A0E2C"/>
    <w:rsid w:val="008A240A"/>
    <w:rsid w:val="008A39A6"/>
    <w:rsid w:val="008A4315"/>
    <w:rsid w:val="008A6766"/>
    <w:rsid w:val="008A7982"/>
    <w:rsid w:val="008B0123"/>
    <w:rsid w:val="008B082C"/>
    <w:rsid w:val="008B0854"/>
    <w:rsid w:val="008B1EB6"/>
    <w:rsid w:val="008B34B9"/>
    <w:rsid w:val="008B42DC"/>
    <w:rsid w:val="008B449A"/>
    <w:rsid w:val="008B621D"/>
    <w:rsid w:val="008C0E0C"/>
    <w:rsid w:val="008C28E1"/>
    <w:rsid w:val="008C54B5"/>
    <w:rsid w:val="008C6599"/>
    <w:rsid w:val="008C7580"/>
    <w:rsid w:val="008D0F83"/>
    <w:rsid w:val="008D1BC3"/>
    <w:rsid w:val="008D2B7E"/>
    <w:rsid w:val="008D2F11"/>
    <w:rsid w:val="008E3BC9"/>
    <w:rsid w:val="008E4CEF"/>
    <w:rsid w:val="008E57A6"/>
    <w:rsid w:val="008E7E34"/>
    <w:rsid w:val="008F048B"/>
    <w:rsid w:val="008F1856"/>
    <w:rsid w:val="008F2A3C"/>
    <w:rsid w:val="008F738A"/>
    <w:rsid w:val="00902937"/>
    <w:rsid w:val="00907787"/>
    <w:rsid w:val="00915D32"/>
    <w:rsid w:val="009160F0"/>
    <w:rsid w:val="00916636"/>
    <w:rsid w:val="00923DA0"/>
    <w:rsid w:val="00925C01"/>
    <w:rsid w:val="0092652D"/>
    <w:rsid w:val="00927220"/>
    <w:rsid w:val="009307DD"/>
    <w:rsid w:val="00935232"/>
    <w:rsid w:val="009376F2"/>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0C83"/>
    <w:rsid w:val="0097370A"/>
    <w:rsid w:val="0097472C"/>
    <w:rsid w:val="009756D9"/>
    <w:rsid w:val="009767A2"/>
    <w:rsid w:val="00976E29"/>
    <w:rsid w:val="00980379"/>
    <w:rsid w:val="00982083"/>
    <w:rsid w:val="0098227F"/>
    <w:rsid w:val="00982CCA"/>
    <w:rsid w:val="00982E50"/>
    <w:rsid w:val="00982FC3"/>
    <w:rsid w:val="009838D6"/>
    <w:rsid w:val="00983ECF"/>
    <w:rsid w:val="00986634"/>
    <w:rsid w:val="00986D33"/>
    <w:rsid w:val="00990931"/>
    <w:rsid w:val="00990FF4"/>
    <w:rsid w:val="009915A7"/>
    <w:rsid w:val="009924E2"/>
    <w:rsid w:val="0099450A"/>
    <w:rsid w:val="00996BA1"/>
    <w:rsid w:val="009973B4"/>
    <w:rsid w:val="009A0A8B"/>
    <w:rsid w:val="009A0EDB"/>
    <w:rsid w:val="009A185D"/>
    <w:rsid w:val="009A1BD3"/>
    <w:rsid w:val="009A2D52"/>
    <w:rsid w:val="009A4C61"/>
    <w:rsid w:val="009A4F4F"/>
    <w:rsid w:val="009A51CE"/>
    <w:rsid w:val="009A66D4"/>
    <w:rsid w:val="009A7173"/>
    <w:rsid w:val="009A7753"/>
    <w:rsid w:val="009B1BFD"/>
    <w:rsid w:val="009B3EC0"/>
    <w:rsid w:val="009B49EA"/>
    <w:rsid w:val="009B50C1"/>
    <w:rsid w:val="009B79C7"/>
    <w:rsid w:val="009C03B6"/>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2A47"/>
    <w:rsid w:val="00A360B9"/>
    <w:rsid w:val="00A37436"/>
    <w:rsid w:val="00A37B52"/>
    <w:rsid w:val="00A400C9"/>
    <w:rsid w:val="00A40626"/>
    <w:rsid w:val="00A40CEE"/>
    <w:rsid w:val="00A40E97"/>
    <w:rsid w:val="00A40FA4"/>
    <w:rsid w:val="00A434AC"/>
    <w:rsid w:val="00A43D43"/>
    <w:rsid w:val="00A43D72"/>
    <w:rsid w:val="00A44393"/>
    <w:rsid w:val="00A45BC8"/>
    <w:rsid w:val="00A47397"/>
    <w:rsid w:val="00A47ADA"/>
    <w:rsid w:val="00A5086F"/>
    <w:rsid w:val="00A508A1"/>
    <w:rsid w:val="00A51993"/>
    <w:rsid w:val="00A53EB8"/>
    <w:rsid w:val="00A54501"/>
    <w:rsid w:val="00A54709"/>
    <w:rsid w:val="00A555DE"/>
    <w:rsid w:val="00A55B65"/>
    <w:rsid w:val="00A56005"/>
    <w:rsid w:val="00A62299"/>
    <w:rsid w:val="00A64D15"/>
    <w:rsid w:val="00A64FEE"/>
    <w:rsid w:val="00A657F6"/>
    <w:rsid w:val="00A6635C"/>
    <w:rsid w:val="00A710BC"/>
    <w:rsid w:val="00A74DC1"/>
    <w:rsid w:val="00A755EC"/>
    <w:rsid w:val="00A77C8F"/>
    <w:rsid w:val="00A82658"/>
    <w:rsid w:val="00A82919"/>
    <w:rsid w:val="00A835DD"/>
    <w:rsid w:val="00A8479D"/>
    <w:rsid w:val="00A84FA5"/>
    <w:rsid w:val="00A87BD8"/>
    <w:rsid w:val="00A9170A"/>
    <w:rsid w:val="00A97623"/>
    <w:rsid w:val="00AA08C6"/>
    <w:rsid w:val="00AA1DEE"/>
    <w:rsid w:val="00AA1E37"/>
    <w:rsid w:val="00AA4759"/>
    <w:rsid w:val="00AA579F"/>
    <w:rsid w:val="00AA72D0"/>
    <w:rsid w:val="00AC0199"/>
    <w:rsid w:val="00AC4249"/>
    <w:rsid w:val="00AD2807"/>
    <w:rsid w:val="00AD42F0"/>
    <w:rsid w:val="00AD4798"/>
    <w:rsid w:val="00AD4A8D"/>
    <w:rsid w:val="00AD6AD5"/>
    <w:rsid w:val="00AE0239"/>
    <w:rsid w:val="00AE077D"/>
    <w:rsid w:val="00AE0D02"/>
    <w:rsid w:val="00AE5E5C"/>
    <w:rsid w:val="00AE6033"/>
    <w:rsid w:val="00AF0F34"/>
    <w:rsid w:val="00AF2AAA"/>
    <w:rsid w:val="00AF2ED8"/>
    <w:rsid w:val="00AF3654"/>
    <w:rsid w:val="00AF3D2C"/>
    <w:rsid w:val="00AF4166"/>
    <w:rsid w:val="00AF41A8"/>
    <w:rsid w:val="00AF48AC"/>
    <w:rsid w:val="00AF48BD"/>
    <w:rsid w:val="00AF5959"/>
    <w:rsid w:val="00AF5C93"/>
    <w:rsid w:val="00AF740A"/>
    <w:rsid w:val="00B0084A"/>
    <w:rsid w:val="00B021C3"/>
    <w:rsid w:val="00B05548"/>
    <w:rsid w:val="00B1611E"/>
    <w:rsid w:val="00B17DC4"/>
    <w:rsid w:val="00B212E3"/>
    <w:rsid w:val="00B22232"/>
    <w:rsid w:val="00B22CA8"/>
    <w:rsid w:val="00B231AF"/>
    <w:rsid w:val="00B26CC9"/>
    <w:rsid w:val="00B27516"/>
    <w:rsid w:val="00B27EC7"/>
    <w:rsid w:val="00B307F5"/>
    <w:rsid w:val="00B32CA1"/>
    <w:rsid w:val="00B33C3C"/>
    <w:rsid w:val="00B34AA5"/>
    <w:rsid w:val="00B34F55"/>
    <w:rsid w:val="00B3590D"/>
    <w:rsid w:val="00B424C7"/>
    <w:rsid w:val="00B43E86"/>
    <w:rsid w:val="00B44474"/>
    <w:rsid w:val="00B4472C"/>
    <w:rsid w:val="00B451B5"/>
    <w:rsid w:val="00B475E4"/>
    <w:rsid w:val="00B51215"/>
    <w:rsid w:val="00B538AB"/>
    <w:rsid w:val="00B5611E"/>
    <w:rsid w:val="00B56960"/>
    <w:rsid w:val="00B60A7D"/>
    <w:rsid w:val="00B628AB"/>
    <w:rsid w:val="00B63EAD"/>
    <w:rsid w:val="00B65ED9"/>
    <w:rsid w:val="00B702D3"/>
    <w:rsid w:val="00B70997"/>
    <w:rsid w:val="00B75063"/>
    <w:rsid w:val="00B77AF7"/>
    <w:rsid w:val="00B80E24"/>
    <w:rsid w:val="00B80E55"/>
    <w:rsid w:val="00B852EE"/>
    <w:rsid w:val="00B8532E"/>
    <w:rsid w:val="00B855EA"/>
    <w:rsid w:val="00B85FAB"/>
    <w:rsid w:val="00B8639D"/>
    <w:rsid w:val="00B91140"/>
    <w:rsid w:val="00B91561"/>
    <w:rsid w:val="00B93940"/>
    <w:rsid w:val="00B9443F"/>
    <w:rsid w:val="00B9591D"/>
    <w:rsid w:val="00B97F71"/>
    <w:rsid w:val="00BA2EBD"/>
    <w:rsid w:val="00BA48A2"/>
    <w:rsid w:val="00BA65AB"/>
    <w:rsid w:val="00BA6BEA"/>
    <w:rsid w:val="00BA7ABD"/>
    <w:rsid w:val="00BA7C60"/>
    <w:rsid w:val="00BA7FF0"/>
    <w:rsid w:val="00BB218C"/>
    <w:rsid w:val="00BB443C"/>
    <w:rsid w:val="00BB5CDF"/>
    <w:rsid w:val="00BC0319"/>
    <w:rsid w:val="00BC0408"/>
    <w:rsid w:val="00BC1058"/>
    <w:rsid w:val="00BC17F2"/>
    <w:rsid w:val="00BC2123"/>
    <w:rsid w:val="00BC3383"/>
    <w:rsid w:val="00BD12DE"/>
    <w:rsid w:val="00BD4D15"/>
    <w:rsid w:val="00BD5623"/>
    <w:rsid w:val="00BD6FEB"/>
    <w:rsid w:val="00BD7484"/>
    <w:rsid w:val="00BE0091"/>
    <w:rsid w:val="00BE06D3"/>
    <w:rsid w:val="00BE3CA7"/>
    <w:rsid w:val="00BE3F2A"/>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07730"/>
    <w:rsid w:val="00C1665B"/>
    <w:rsid w:val="00C1721E"/>
    <w:rsid w:val="00C174C3"/>
    <w:rsid w:val="00C178D0"/>
    <w:rsid w:val="00C2042E"/>
    <w:rsid w:val="00C21466"/>
    <w:rsid w:val="00C21900"/>
    <w:rsid w:val="00C25166"/>
    <w:rsid w:val="00C251D6"/>
    <w:rsid w:val="00C2652E"/>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4E0"/>
    <w:rsid w:val="00C75E38"/>
    <w:rsid w:val="00C76369"/>
    <w:rsid w:val="00C7763E"/>
    <w:rsid w:val="00C820F3"/>
    <w:rsid w:val="00C828AC"/>
    <w:rsid w:val="00C8354B"/>
    <w:rsid w:val="00C8369C"/>
    <w:rsid w:val="00C85665"/>
    <w:rsid w:val="00C85FFC"/>
    <w:rsid w:val="00C86187"/>
    <w:rsid w:val="00C91511"/>
    <w:rsid w:val="00C94F96"/>
    <w:rsid w:val="00C97316"/>
    <w:rsid w:val="00CA02E5"/>
    <w:rsid w:val="00CA06D8"/>
    <w:rsid w:val="00CA1763"/>
    <w:rsid w:val="00CA2D42"/>
    <w:rsid w:val="00CA32E6"/>
    <w:rsid w:val="00CA51FB"/>
    <w:rsid w:val="00CA5AFC"/>
    <w:rsid w:val="00CB0F2A"/>
    <w:rsid w:val="00CB2BBE"/>
    <w:rsid w:val="00CB4320"/>
    <w:rsid w:val="00CB43C4"/>
    <w:rsid w:val="00CB4FCA"/>
    <w:rsid w:val="00CC09FF"/>
    <w:rsid w:val="00CC3326"/>
    <w:rsid w:val="00CC5EF8"/>
    <w:rsid w:val="00CD1E73"/>
    <w:rsid w:val="00CD25C5"/>
    <w:rsid w:val="00CD3021"/>
    <w:rsid w:val="00CD72AA"/>
    <w:rsid w:val="00CE074F"/>
    <w:rsid w:val="00CE0D29"/>
    <w:rsid w:val="00CE24D3"/>
    <w:rsid w:val="00CE3F34"/>
    <w:rsid w:val="00CE4957"/>
    <w:rsid w:val="00CE6768"/>
    <w:rsid w:val="00CE7E7F"/>
    <w:rsid w:val="00CF01BB"/>
    <w:rsid w:val="00CF0492"/>
    <w:rsid w:val="00CF6AD2"/>
    <w:rsid w:val="00CF79FF"/>
    <w:rsid w:val="00CF7D83"/>
    <w:rsid w:val="00D00355"/>
    <w:rsid w:val="00D008C6"/>
    <w:rsid w:val="00D028F6"/>
    <w:rsid w:val="00D04B2F"/>
    <w:rsid w:val="00D05F9F"/>
    <w:rsid w:val="00D0668C"/>
    <w:rsid w:val="00D11C49"/>
    <w:rsid w:val="00D12634"/>
    <w:rsid w:val="00D21A4B"/>
    <w:rsid w:val="00D23569"/>
    <w:rsid w:val="00D23E3F"/>
    <w:rsid w:val="00D26D56"/>
    <w:rsid w:val="00D30AE1"/>
    <w:rsid w:val="00D338DA"/>
    <w:rsid w:val="00D33A2C"/>
    <w:rsid w:val="00D35457"/>
    <w:rsid w:val="00D36951"/>
    <w:rsid w:val="00D37C2A"/>
    <w:rsid w:val="00D402EA"/>
    <w:rsid w:val="00D40CD0"/>
    <w:rsid w:val="00D4179A"/>
    <w:rsid w:val="00D42B59"/>
    <w:rsid w:val="00D51182"/>
    <w:rsid w:val="00D5328D"/>
    <w:rsid w:val="00D566A5"/>
    <w:rsid w:val="00D5738D"/>
    <w:rsid w:val="00D6341E"/>
    <w:rsid w:val="00D63E36"/>
    <w:rsid w:val="00D64C1A"/>
    <w:rsid w:val="00D67C4E"/>
    <w:rsid w:val="00D70B82"/>
    <w:rsid w:val="00D731C7"/>
    <w:rsid w:val="00D744CA"/>
    <w:rsid w:val="00D7451B"/>
    <w:rsid w:val="00D7458E"/>
    <w:rsid w:val="00D74A34"/>
    <w:rsid w:val="00D7580B"/>
    <w:rsid w:val="00D7601E"/>
    <w:rsid w:val="00D833CB"/>
    <w:rsid w:val="00D8364D"/>
    <w:rsid w:val="00D8449C"/>
    <w:rsid w:val="00D85334"/>
    <w:rsid w:val="00D85557"/>
    <w:rsid w:val="00D85600"/>
    <w:rsid w:val="00D86028"/>
    <w:rsid w:val="00D8734E"/>
    <w:rsid w:val="00D906FC"/>
    <w:rsid w:val="00D91013"/>
    <w:rsid w:val="00D91124"/>
    <w:rsid w:val="00D91990"/>
    <w:rsid w:val="00D94E14"/>
    <w:rsid w:val="00D966FA"/>
    <w:rsid w:val="00DA0B8A"/>
    <w:rsid w:val="00DA3D04"/>
    <w:rsid w:val="00DA4F3F"/>
    <w:rsid w:val="00DA5A08"/>
    <w:rsid w:val="00DA5B11"/>
    <w:rsid w:val="00DA5E8C"/>
    <w:rsid w:val="00DA5F86"/>
    <w:rsid w:val="00DA73F4"/>
    <w:rsid w:val="00DB078C"/>
    <w:rsid w:val="00DB132B"/>
    <w:rsid w:val="00DB2FE1"/>
    <w:rsid w:val="00DB3722"/>
    <w:rsid w:val="00DB407B"/>
    <w:rsid w:val="00DC044D"/>
    <w:rsid w:val="00DC495E"/>
    <w:rsid w:val="00DC7F81"/>
    <w:rsid w:val="00DD10E4"/>
    <w:rsid w:val="00DD16C1"/>
    <w:rsid w:val="00DD2A3B"/>
    <w:rsid w:val="00DD4D7D"/>
    <w:rsid w:val="00DD608B"/>
    <w:rsid w:val="00DD712C"/>
    <w:rsid w:val="00DD7DD0"/>
    <w:rsid w:val="00DE1E9C"/>
    <w:rsid w:val="00DE5EED"/>
    <w:rsid w:val="00DF02A7"/>
    <w:rsid w:val="00DF0C8C"/>
    <w:rsid w:val="00DF16E6"/>
    <w:rsid w:val="00DF1F2D"/>
    <w:rsid w:val="00DF339B"/>
    <w:rsid w:val="00DF4323"/>
    <w:rsid w:val="00E0439E"/>
    <w:rsid w:val="00E04581"/>
    <w:rsid w:val="00E04D54"/>
    <w:rsid w:val="00E11A31"/>
    <w:rsid w:val="00E128CB"/>
    <w:rsid w:val="00E133CC"/>
    <w:rsid w:val="00E13528"/>
    <w:rsid w:val="00E21909"/>
    <w:rsid w:val="00E21FB5"/>
    <w:rsid w:val="00E24ED5"/>
    <w:rsid w:val="00E31A5A"/>
    <w:rsid w:val="00E31F92"/>
    <w:rsid w:val="00E337C9"/>
    <w:rsid w:val="00E40185"/>
    <w:rsid w:val="00E40996"/>
    <w:rsid w:val="00E41A9F"/>
    <w:rsid w:val="00E41D9E"/>
    <w:rsid w:val="00E43316"/>
    <w:rsid w:val="00E439A3"/>
    <w:rsid w:val="00E43ECC"/>
    <w:rsid w:val="00E440D4"/>
    <w:rsid w:val="00E4418E"/>
    <w:rsid w:val="00E44DCF"/>
    <w:rsid w:val="00E45263"/>
    <w:rsid w:val="00E46CE9"/>
    <w:rsid w:val="00E47C9E"/>
    <w:rsid w:val="00E50520"/>
    <w:rsid w:val="00E532F5"/>
    <w:rsid w:val="00E54268"/>
    <w:rsid w:val="00E55B67"/>
    <w:rsid w:val="00E614CC"/>
    <w:rsid w:val="00E65A9C"/>
    <w:rsid w:val="00E704A3"/>
    <w:rsid w:val="00E70737"/>
    <w:rsid w:val="00E719F0"/>
    <w:rsid w:val="00E73179"/>
    <w:rsid w:val="00E738D6"/>
    <w:rsid w:val="00E74170"/>
    <w:rsid w:val="00E74FA4"/>
    <w:rsid w:val="00E76B78"/>
    <w:rsid w:val="00E776A0"/>
    <w:rsid w:val="00E776ED"/>
    <w:rsid w:val="00E77B95"/>
    <w:rsid w:val="00E77D09"/>
    <w:rsid w:val="00E81EDD"/>
    <w:rsid w:val="00E82865"/>
    <w:rsid w:val="00E830BD"/>
    <w:rsid w:val="00E84262"/>
    <w:rsid w:val="00E851E6"/>
    <w:rsid w:val="00E936DA"/>
    <w:rsid w:val="00E93C9F"/>
    <w:rsid w:val="00E93D13"/>
    <w:rsid w:val="00E953F2"/>
    <w:rsid w:val="00E95D76"/>
    <w:rsid w:val="00E95F40"/>
    <w:rsid w:val="00E967DA"/>
    <w:rsid w:val="00E9786C"/>
    <w:rsid w:val="00EA41A7"/>
    <w:rsid w:val="00EA5A17"/>
    <w:rsid w:val="00EA6A06"/>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5878"/>
    <w:rsid w:val="00ED7AD0"/>
    <w:rsid w:val="00EE0A27"/>
    <w:rsid w:val="00EE0FA6"/>
    <w:rsid w:val="00EE285F"/>
    <w:rsid w:val="00EE2A12"/>
    <w:rsid w:val="00EE2CC8"/>
    <w:rsid w:val="00EE34FA"/>
    <w:rsid w:val="00EE51FF"/>
    <w:rsid w:val="00EF12FE"/>
    <w:rsid w:val="00EF2539"/>
    <w:rsid w:val="00EF290F"/>
    <w:rsid w:val="00EF4566"/>
    <w:rsid w:val="00EF4613"/>
    <w:rsid w:val="00EF4697"/>
    <w:rsid w:val="00EF4C04"/>
    <w:rsid w:val="00EF5A8C"/>
    <w:rsid w:val="00F009B8"/>
    <w:rsid w:val="00F00C3F"/>
    <w:rsid w:val="00F04611"/>
    <w:rsid w:val="00F04D73"/>
    <w:rsid w:val="00F06BEF"/>
    <w:rsid w:val="00F07B6F"/>
    <w:rsid w:val="00F07C40"/>
    <w:rsid w:val="00F1377B"/>
    <w:rsid w:val="00F1680A"/>
    <w:rsid w:val="00F16DC8"/>
    <w:rsid w:val="00F21170"/>
    <w:rsid w:val="00F21D30"/>
    <w:rsid w:val="00F22B1A"/>
    <w:rsid w:val="00F23B09"/>
    <w:rsid w:val="00F24FAF"/>
    <w:rsid w:val="00F25037"/>
    <w:rsid w:val="00F25836"/>
    <w:rsid w:val="00F26827"/>
    <w:rsid w:val="00F27441"/>
    <w:rsid w:val="00F30291"/>
    <w:rsid w:val="00F3110B"/>
    <w:rsid w:val="00F349B3"/>
    <w:rsid w:val="00F34B46"/>
    <w:rsid w:val="00F34E7F"/>
    <w:rsid w:val="00F3561B"/>
    <w:rsid w:val="00F409C9"/>
    <w:rsid w:val="00F4149C"/>
    <w:rsid w:val="00F41505"/>
    <w:rsid w:val="00F42ACF"/>
    <w:rsid w:val="00F44CA4"/>
    <w:rsid w:val="00F46DCC"/>
    <w:rsid w:val="00F475C7"/>
    <w:rsid w:val="00F5737A"/>
    <w:rsid w:val="00F57D0F"/>
    <w:rsid w:val="00F605B9"/>
    <w:rsid w:val="00F61CD4"/>
    <w:rsid w:val="00F642D4"/>
    <w:rsid w:val="00F650BD"/>
    <w:rsid w:val="00F65492"/>
    <w:rsid w:val="00F6569A"/>
    <w:rsid w:val="00F70867"/>
    <w:rsid w:val="00F70F7E"/>
    <w:rsid w:val="00F72AA7"/>
    <w:rsid w:val="00F72CEA"/>
    <w:rsid w:val="00F73A13"/>
    <w:rsid w:val="00F7428F"/>
    <w:rsid w:val="00F76103"/>
    <w:rsid w:val="00F77E03"/>
    <w:rsid w:val="00F80A17"/>
    <w:rsid w:val="00F80C28"/>
    <w:rsid w:val="00F86594"/>
    <w:rsid w:val="00F8742C"/>
    <w:rsid w:val="00F8794A"/>
    <w:rsid w:val="00F87C27"/>
    <w:rsid w:val="00F9517F"/>
    <w:rsid w:val="00F9638F"/>
    <w:rsid w:val="00FA0609"/>
    <w:rsid w:val="00FA14AA"/>
    <w:rsid w:val="00FA2341"/>
    <w:rsid w:val="00FA28DB"/>
    <w:rsid w:val="00FA30E3"/>
    <w:rsid w:val="00FA5935"/>
    <w:rsid w:val="00FA651C"/>
    <w:rsid w:val="00FA6564"/>
    <w:rsid w:val="00FA7A00"/>
    <w:rsid w:val="00FA7D17"/>
    <w:rsid w:val="00FB1F5D"/>
    <w:rsid w:val="00FB2737"/>
    <w:rsid w:val="00FB2CAD"/>
    <w:rsid w:val="00FB2D48"/>
    <w:rsid w:val="00FB4527"/>
    <w:rsid w:val="00FB4DA7"/>
    <w:rsid w:val="00FB564A"/>
    <w:rsid w:val="00FB62F5"/>
    <w:rsid w:val="00FC07B8"/>
    <w:rsid w:val="00FC5E8A"/>
    <w:rsid w:val="00FC6C20"/>
    <w:rsid w:val="00FD0BAE"/>
    <w:rsid w:val="00FD2F13"/>
    <w:rsid w:val="00FD378B"/>
    <w:rsid w:val="00FE2592"/>
    <w:rsid w:val="00FE3029"/>
    <w:rsid w:val="00FE32F1"/>
    <w:rsid w:val="00FE3C6D"/>
    <w:rsid w:val="00FE3F17"/>
    <w:rsid w:val="00FE4219"/>
    <w:rsid w:val="00FE7433"/>
    <w:rsid w:val="00FF26C9"/>
    <w:rsid w:val="00FF2E48"/>
    <w:rsid w:val="00FF31A1"/>
    <w:rsid w:val="00FF40AC"/>
    <w:rsid w:val="00FF4B4D"/>
    <w:rsid w:val="01374E54"/>
    <w:rsid w:val="01480B04"/>
    <w:rsid w:val="014B025A"/>
    <w:rsid w:val="01630F53"/>
    <w:rsid w:val="01D46B46"/>
    <w:rsid w:val="02445A7A"/>
    <w:rsid w:val="02C92423"/>
    <w:rsid w:val="02FA438B"/>
    <w:rsid w:val="03045253"/>
    <w:rsid w:val="034D4E02"/>
    <w:rsid w:val="039E2B66"/>
    <w:rsid w:val="042E69E2"/>
    <w:rsid w:val="044004C3"/>
    <w:rsid w:val="047D00F2"/>
    <w:rsid w:val="047D7712"/>
    <w:rsid w:val="04A05A4C"/>
    <w:rsid w:val="04EB042F"/>
    <w:rsid w:val="052E47BF"/>
    <w:rsid w:val="05681A7F"/>
    <w:rsid w:val="05B178CA"/>
    <w:rsid w:val="062C0CFF"/>
    <w:rsid w:val="06F96E6D"/>
    <w:rsid w:val="06FB1747"/>
    <w:rsid w:val="07345C12"/>
    <w:rsid w:val="07EB0BE6"/>
    <w:rsid w:val="07F7358F"/>
    <w:rsid w:val="08142C62"/>
    <w:rsid w:val="086C5D2B"/>
    <w:rsid w:val="0881185D"/>
    <w:rsid w:val="08B76982"/>
    <w:rsid w:val="09297778"/>
    <w:rsid w:val="09F401A6"/>
    <w:rsid w:val="0A0855DF"/>
    <w:rsid w:val="0A326B00"/>
    <w:rsid w:val="0A56459C"/>
    <w:rsid w:val="0A682522"/>
    <w:rsid w:val="0A7B359B"/>
    <w:rsid w:val="0A977223"/>
    <w:rsid w:val="0AC02050"/>
    <w:rsid w:val="0ADD670E"/>
    <w:rsid w:val="0B04049C"/>
    <w:rsid w:val="0C960330"/>
    <w:rsid w:val="0CF404A7"/>
    <w:rsid w:val="0D1E3C19"/>
    <w:rsid w:val="0D9A50E8"/>
    <w:rsid w:val="0DC91529"/>
    <w:rsid w:val="0E707BF7"/>
    <w:rsid w:val="0E981627"/>
    <w:rsid w:val="0EC94824"/>
    <w:rsid w:val="0ECF2B6F"/>
    <w:rsid w:val="0F563291"/>
    <w:rsid w:val="0F76748F"/>
    <w:rsid w:val="10613C9B"/>
    <w:rsid w:val="114307AB"/>
    <w:rsid w:val="130A061A"/>
    <w:rsid w:val="1319085D"/>
    <w:rsid w:val="1356385F"/>
    <w:rsid w:val="136418C0"/>
    <w:rsid w:val="13BD743A"/>
    <w:rsid w:val="13CB5FFB"/>
    <w:rsid w:val="13CC3B21"/>
    <w:rsid w:val="14447B5C"/>
    <w:rsid w:val="145E0C1D"/>
    <w:rsid w:val="14987CE5"/>
    <w:rsid w:val="15381B1D"/>
    <w:rsid w:val="1585667E"/>
    <w:rsid w:val="15950A2F"/>
    <w:rsid w:val="15EE5FD1"/>
    <w:rsid w:val="16331C36"/>
    <w:rsid w:val="163D4F1E"/>
    <w:rsid w:val="1642631D"/>
    <w:rsid w:val="16655F8E"/>
    <w:rsid w:val="167E55A7"/>
    <w:rsid w:val="168E3310"/>
    <w:rsid w:val="1794583D"/>
    <w:rsid w:val="1804388A"/>
    <w:rsid w:val="183879D7"/>
    <w:rsid w:val="190E24E6"/>
    <w:rsid w:val="192D0BBE"/>
    <w:rsid w:val="1981715C"/>
    <w:rsid w:val="1B0D6EF9"/>
    <w:rsid w:val="1B7E3953"/>
    <w:rsid w:val="1BD9327F"/>
    <w:rsid w:val="1C6F14EE"/>
    <w:rsid w:val="1CBD62AA"/>
    <w:rsid w:val="1D6F3E9B"/>
    <w:rsid w:val="1DB573D4"/>
    <w:rsid w:val="1E4D585F"/>
    <w:rsid w:val="1EDE7E53"/>
    <w:rsid w:val="1F3F33F9"/>
    <w:rsid w:val="1FD004F5"/>
    <w:rsid w:val="1FFB2D8F"/>
    <w:rsid w:val="20030C8A"/>
    <w:rsid w:val="20043C15"/>
    <w:rsid w:val="20201EC2"/>
    <w:rsid w:val="204333BD"/>
    <w:rsid w:val="20D504B9"/>
    <w:rsid w:val="20FF50BF"/>
    <w:rsid w:val="21627873"/>
    <w:rsid w:val="216E3B1F"/>
    <w:rsid w:val="217E134C"/>
    <w:rsid w:val="21F26E49"/>
    <w:rsid w:val="2217240B"/>
    <w:rsid w:val="22AB0264"/>
    <w:rsid w:val="23EB3B87"/>
    <w:rsid w:val="246B6A3F"/>
    <w:rsid w:val="24A0493A"/>
    <w:rsid w:val="24C032D3"/>
    <w:rsid w:val="25252501"/>
    <w:rsid w:val="255B6AB3"/>
    <w:rsid w:val="25F27CC9"/>
    <w:rsid w:val="262A09E4"/>
    <w:rsid w:val="263A2B6C"/>
    <w:rsid w:val="26775B6F"/>
    <w:rsid w:val="26DE4A87"/>
    <w:rsid w:val="283261F1"/>
    <w:rsid w:val="288602EB"/>
    <w:rsid w:val="28F32B26"/>
    <w:rsid w:val="29EE7EF6"/>
    <w:rsid w:val="2A005E7B"/>
    <w:rsid w:val="2B253DEB"/>
    <w:rsid w:val="2B807273"/>
    <w:rsid w:val="2BFF50A1"/>
    <w:rsid w:val="2CAD5E46"/>
    <w:rsid w:val="2CC47634"/>
    <w:rsid w:val="2CD86C3B"/>
    <w:rsid w:val="2CE42807"/>
    <w:rsid w:val="2CF77A09"/>
    <w:rsid w:val="2D1759B5"/>
    <w:rsid w:val="2D3E6DE2"/>
    <w:rsid w:val="2D776454"/>
    <w:rsid w:val="2DAA682A"/>
    <w:rsid w:val="2DD6761F"/>
    <w:rsid w:val="2E1F0FC6"/>
    <w:rsid w:val="2EEE0998"/>
    <w:rsid w:val="2F9257C7"/>
    <w:rsid w:val="2FEA5F52"/>
    <w:rsid w:val="300264A9"/>
    <w:rsid w:val="30A752A2"/>
    <w:rsid w:val="30CE282F"/>
    <w:rsid w:val="31837ABD"/>
    <w:rsid w:val="31DE2F46"/>
    <w:rsid w:val="328E194F"/>
    <w:rsid w:val="32C4213C"/>
    <w:rsid w:val="32E4633A"/>
    <w:rsid w:val="32EC3440"/>
    <w:rsid w:val="33114C55"/>
    <w:rsid w:val="33394157"/>
    <w:rsid w:val="337C47C4"/>
    <w:rsid w:val="34311A53"/>
    <w:rsid w:val="344D210B"/>
    <w:rsid w:val="348B0970"/>
    <w:rsid w:val="359D0A22"/>
    <w:rsid w:val="35FF348B"/>
    <w:rsid w:val="36B349A1"/>
    <w:rsid w:val="36B97ADD"/>
    <w:rsid w:val="36D2734C"/>
    <w:rsid w:val="371F3DE4"/>
    <w:rsid w:val="372834EA"/>
    <w:rsid w:val="376C5661"/>
    <w:rsid w:val="37932C7C"/>
    <w:rsid w:val="381F44BF"/>
    <w:rsid w:val="38211DDE"/>
    <w:rsid w:val="39366327"/>
    <w:rsid w:val="395835DE"/>
    <w:rsid w:val="3A033549"/>
    <w:rsid w:val="3A0D261A"/>
    <w:rsid w:val="3A43428E"/>
    <w:rsid w:val="3A8D388F"/>
    <w:rsid w:val="3AD273C0"/>
    <w:rsid w:val="3B135A0E"/>
    <w:rsid w:val="3B16534F"/>
    <w:rsid w:val="3B525E2C"/>
    <w:rsid w:val="3B6765EF"/>
    <w:rsid w:val="3BE93FA3"/>
    <w:rsid w:val="3C0637C5"/>
    <w:rsid w:val="3C3E4D0D"/>
    <w:rsid w:val="3C4F6F1A"/>
    <w:rsid w:val="3CAB7EC8"/>
    <w:rsid w:val="3D6C3AFB"/>
    <w:rsid w:val="3DB334D8"/>
    <w:rsid w:val="3E083824"/>
    <w:rsid w:val="3EAB2402"/>
    <w:rsid w:val="3EDC3EE7"/>
    <w:rsid w:val="3F5E7474"/>
    <w:rsid w:val="3FC25C55"/>
    <w:rsid w:val="400413EB"/>
    <w:rsid w:val="401A783F"/>
    <w:rsid w:val="40550877"/>
    <w:rsid w:val="406A1B78"/>
    <w:rsid w:val="406C796F"/>
    <w:rsid w:val="408E3D89"/>
    <w:rsid w:val="409F7D44"/>
    <w:rsid w:val="40BA4B7E"/>
    <w:rsid w:val="41384420"/>
    <w:rsid w:val="41572C11"/>
    <w:rsid w:val="41BD2B78"/>
    <w:rsid w:val="42024A2E"/>
    <w:rsid w:val="420C0B4F"/>
    <w:rsid w:val="42CB4E20"/>
    <w:rsid w:val="43BC4F2D"/>
    <w:rsid w:val="43BF1D0C"/>
    <w:rsid w:val="43E75C8A"/>
    <w:rsid w:val="43F65ECD"/>
    <w:rsid w:val="44263728"/>
    <w:rsid w:val="442E38B9"/>
    <w:rsid w:val="449C4CC6"/>
    <w:rsid w:val="44C21117"/>
    <w:rsid w:val="451A208F"/>
    <w:rsid w:val="459040FF"/>
    <w:rsid w:val="459C2AA4"/>
    <w:rsid w:val="45A32084"/>
    <w:rsid w:val="45C75D73"/>
    <w:rsid w:val="45DC10F2"/>
    <w:rsid w:val="463827CD"/>
    <w:rsid w:val="467F664E"/>
    <w:rsid w:val="46BB51AC"/>
    <w:rsid w:val="46DE7557"/>
    <w:rsid w:val="471F398D"/>
    <w:rsid w:val="472B2331"/>
    <w:rsid w:val="475353E4"/>
    <w:rsid w:val="47C02A7A"/>
    <w:rsid w:val="47D77DC3"/>
    <w:rsid w:val="48081DC0"/>
    <w:rsid w:val="484336AB"/>
    <w:rsid w:val="48591EC9"/>
    <w:rsid w:val="48A00DF5"/>
    <w:rsid w:val="490F25EC"/>
    <w:rsid w:val="495902DB"/>
    <w:rsid w:val="49FB5A77"/>
    <w:rsid w:val="4A125553"/>
    <w:rsid w:val="4A404346"/>
    <w:rsid w:val="4A8E3883"/>
    <w:rsid w:val="4A8F4985"/>
    <w:rsid w:val="4AB12B4E"/>
    <w:rsid w:val="4AE7656F"/>
    <w:rsid w:val="4B6B0F4E"/>
    <w:rsid w:val="4BD6633F"/>
    <w:rsid w:val="4C765DFD"/>
    <w:rsid w:val="4C8C3872"/>
    <w:rsid w:val="4CA50490"/>
    <w:rsid w:val="4CE4720A"/>
    <w:rsid w:val="4D4952BF"/>
    <w:rsid w:val="4D7E765F"/>
    <w:rsid w:val="4DE35289"/>
    <w:rsid w:val="4F440434"/>
    <w:rsid w:val="4FAB43FA"/>
    <w:rsid w:val="4FB8672C"/>
    <w:rsid w:val="4FCB46B2"/>
    <w:rsid w:val="50A11925"/>
    <w:rsid w:val="50A15412"/>
    <w:rsid w:val="50FE4613"/>
    <w:rsid w:val="516656C6"/>
    <w:rsid w:val="51901536"/>
    <w:rsid w:val="52B503B8"/>
    <w:rsid w:val="535D7D17"/>
    <w:rsid w:val="543A1E06"/>
    <w:rsid w:val="55194197"/>
    <w:rsid w:val="55495646"/>
    <w:rsid w:val="55A97243"/>
    <w:rsid w:val="55CA4CAE"/>
    <w:rsid w:val="56342E10"/>
    <w:rsid w:val="56903F5F"/>
    <w:rsid w:val="56BA5480"/>
    <w:rsid w:val="56BE6D1E"/>
    <w:rsid w:val="56CD51B3"/>
    <w:rsid w:val="57917F8F"/>
    <w:rsid w:val="57936628"/>
    <w:rsid w:val="57B679F5"/>
    <w:rsid w:val="57CF6839"/>
    <w:rsid w:val="58456342"/>
    <w:rsid w:val="58915E9A"/>
    <w:rsid w:val="58C16652"/>
    <w:rsid w:val="58C3686E"/>
    <w:rsid w:val="59AB714B"/>
    <w:rsid w:val="5A096502"/>
    <w:rsid w:val="5A0C1B4F"/>
    <w:rsid w:val="5A192F73"/>
    <w:rsid w:val="5A700F87"/>
    <w:rsid w:val="5A813FC1"/>
    <w:rsid w:val="5AC8016B"/>
    <w:rsid w:val="5BB16E51"/>
    <w:rsid w:val="5C2E5F9B"/>
    <w:rsid w:val="5C392E41"/>
    <w:rsid w:val="5C9F6CAA"/>
    <w:rsid w:val="5D355860"/>
    <w:rsid w:val="5D5757D7"/>
    <w:rsid w:val="5DC97387"/>
    <w:rsid w:val="5DE03B9E"/>
    <w:rsid w:val="5E4C10B3"/>
    <w:rsid w:val="5EF1163D"/>
    <w:rsid w:val="5F090B3B"/>
    <w:rsid w:val="5FDE3F8D"/>
    <w:rsid w:val="5FFA0D03"/>
    <w:rsid w:val="60136E57"/>
    <w:rsid w:val="602C2F4B"/>
    <w:rsid w:val="603D6CB2"/>
    <w:rsid w:val="60DB04CD"/>
    <w:rsid w:val="61306A6A"/>
    <w:rsid w:val="61693D2A"/>
    <w:rsid w:val="61761FA3"/>
    <w:rsid w:val="61B2122D"/>
    <w:rsid w:val="61C55405"/>
    <w:rsid w:val="622814F0"/>
    <w:rsid w:val="62465E1A"/>
    <w:rsid w:val="62C33BA0"/>
    <w:rsid w:val="62D149D9"/>
    <w:rsid w:val="6361115D"/>
    <w:rsid w:val="63780255"/>
    <w:rsid w:val="63E458EA"/>
    <w:rsid w:val="6468355E"/>
    <w:rsid w:val="6475522D"/>
    <w:rsid w:val="64AA6B34"/>
    <w:rsid w:val="64C21DE9"/>
    <w:rsid w:val="65417DAC"/>
    <w:rsid w:val="65442AE4"/>
    <w:rsid w:val="657B402C"/>
    <w:rsid w:val="66287D10"/>
    <w:rsid w:val="66546D57"/>
    <w:rsid w:val="66C57C55"/>
    <w:rsid w:val="66D954AE"/>
    <w:rsid w:val="67696832"/>
    <w:rsid w:val="679B1D06"/>
    <w:rsid w:val="682830F2"/>
    <w:rsid w:val="69054BC5"/>
    <w:rsid w:val="690E58E3"/>
    <w:rsid w:val="692964CA"/>
    <w:rsid w:val="697B396B"/>
    <w:rsid w:val="69982123"/>
    <w:rsid w:val="6A1D3904"/>
    <w:rsid w:val="6A486BD3"/>
    <w:rsid w:val="6A8E035E"/>
    <w:rsid w:val="6A9738C0"/>
    <w:rsid w:val="6AA10091"/>
    <w:rsid w:val="6AB525A4"/>
    <w:rsid w:val="6AD761A9"/>
    <w:rsid w:val="6B6D2143"/>
    <w:rsid w:val="6BDB75D3"/>
    <w:rsid w:val="6CD429A0"/>
    <w:rsid w:val="6D2A0812"/>
    <w:rsid w:val="6D9045F1"/>
    <w:rsid w:val="6DCE3893"/>
    <w:rsid w:val="6DD77FD1"/>
    <w:rsid w:val="6E2F3C06"/>
    <w:rsid w:val="6E557B10"/>
    <w:rsid w:val="6E6B2E90"/>
    <w:rsid w:val="6E81752C"/>
    <w:rsid w:val="6E9323E7"/>
    <w:rsid w:val="6EEF1D13"/>
    <w:rsid w:val="6F5B73A8"/>
    <w:rsid w:val="6F5F26D8"/>
    <w:rsid w:val="70004E39"/>
    <w:rsid w:val="712A3AA9"/>
    <w:rsid w:val="713734FD"/>
    <w:rsid w:val="71F80EDE"/>
    <w:rsid w:val="722565BF"/>
    <w:rsid w:val="734463A5"/>
    <w:rsid w:val="742206AB"/>
    <w:rsid w:val="74E36302"/>
    <w:rsid w:val="750F7C4B"/>
    <w:rsid w:val="755328D0"/>
    <w:rsid w:val="755F1275"/>
    <w:rsid w:val="75695C4F"/>
    <w:rsid w:val="75C4732A"/>
    <w:rsid w:val="75F714AD"/>
    <w:rsid w:val="76417971"/>
    <w:rsid w:val="765D2ACF"/>
    <w:rsid w:val="768216BE"/>
    <w:rsid w:val="76EC6B38"/>
    <w:rsid w:val="77E32B58"/>
    <w:rsid w:val="783112B9"/>
    <w:rsid w:val="78947487"/>
    <w:rsid w:val="789820AE"/>
    <w:rsid w:val="78F817C4"/>
    <w:rsid w:val="792C379E"/>
    <w:rsid w:val="794B7384"/>
    <w:rsid w:val="794F4474"/>
    <w:rsid w:val="7993773F"/>
    <w:rsid w:val="799A6D1F"/>
    <w:rsid w:val="79CC2727"/>
    <w:rsid w:val="79E612E9"/>
    <w:rsid w:val="79F77CCE"/>
    <w:rsid w:val="7A23721B"/>
    <w:rsid w:val="7AAD4830"/>
    <w:rsid w:val="7B335060"/>
    <w:rsid w:val="7C1E59E5"/>
    <w:rsid w:val="7C2C729B"/>
    <w:rsid w:val="7C8D2B6B"/>
    <w:rsid w:val="7CBC51FE"/>
    <w:rsid w:val="7CBE2D25"/>
    <w:rsid w:val="7CEA58C8"/>
    <w:rsid w:val="7D8B70AB"/>
    <w:rsid w:val="7DCE4AB7"/>
    <w:rsid w:val="7E3F39F1"/>
    <w:rsid w:val="7E90249F"/>
    <w:rsid w:val="7EC00FD6"/>
    <w:rsid w:val="7F8A3392"/>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2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8"/>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29"/>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2"/>
    <w:unhideWhenUsed/>
    <w:qFormat/>
    <w:uiPriority w:val="0"/>
    <w:rPr>
      <w:rFonts w:ascii="宋体" w:eastAsia="宋体"/>
      <w:sz w:val="18"/>
      <w:szCs w:val="18"/>
    </w:rPr>
  </w:style>
  <w:style w:type="paragraph" w:styleId="9">
    <w:name w:val="annotation text"/>
    <w:basedOn w:val="1"/>
    <w:link w:val="44"/>
    <w:qFormat/>
    <w:uiPriority w:val="99"/>
    <w:pPr>
      <w:jc w:val="left"/>
    </w:pPr>
    <w:rPr>
      <w:rFonts w:ascii="Times New Roman" w:hAnsi="Times New Roman" w:eastAsia="宋体" w:cs="Times New Roman"/>
      <w:szCs w:val="24"/>
    </w:rPr>
  </w:style>
  <w:style w:type="paragraph" w:styleId="10">
    <w:name w:val="Balloon Text"/>
    <w:basedOn w:val="1"/>
    <w:link w:val="43"/>
    <w:semiHidden/>
    <w:unhideWhenUsed/>
    <w:qFormat/>
    <w:uiPriority w:val="99"/>
    <w:rPr>
      <w:sz w:val="18"/>
      <w:szCs w:val="18"/>
    </w:rPr>
  </w:style>
  <w:style w:type="paragraph" w:styleId="11">
    <w:name w:val="footer"/>
    <w:basedOn w:val="1"/>
    <w:link w:val="24"/>
    <w:unhideWhenUsed/>
    <w:qFormat/>
    <w:uiPriority w:val="0"/>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9"/>
    <w:next w:val="9"/>
    <w:link w:val="51"/>
    <w:semiHidden/>
    <w:unhideWhenUsed/>
    <w:qFormat/>
    <w:uiPriority w:val="99"/>
    <w:rPr>
      <w:rFonts w:asciiTheme="minorHAnsi" w:hAnsiTheme="minorHAnsi" w:eastAsiaTheme="minorEastAsia" w:cstheme="minorBidi"/>
      <w:b/>
      <w:bCs/>
      <w:szCs w:val="22"/>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qFormat/>
    <w:uiPriority w:val="99"/>
    <w:rPr>
      <w:sz w:val="21"/>
      <w:szCs w:val="21"/>
    </w:rPr>
  </w:style>
  <w:style w:type="character" w:customStyle="1" w:styleId="23">
    <w:name w:val="页眉 Char"/>
    <w:basedOn w:val="19"/>
    <w:link w:val="12"/>
    <w:qFormat/>
    <w:uiPriority w:val="0"/>
    <w:rPr>
      <w:sz w:val="18"/>
      <w:szCs w:val="18"/>
    </w:rPr>
  </w:style>
  <w:style w:type="character" w:customStyle="1" w:styleId="24">
    <w:name w:val="页脚 Char"/>
    <w:basedOn w:val="19"/>
    <w:link w:val="11"/>
    <w:qFormat/>
    <w:uiPriority w:val="0"/>
    <w:rPr>
      <w:sz w:val="18"/>
      <w:szCs w:val="18"/>
    </w:rPr>
  </w:style>
  <w:style w:type="character" w:customStyle="1" w:styleId="25">
    <w:name w:val="标题 1 Char"/>
    <w:basedOn w:val="19"/>
    <w:link w:val="2"/>
    <w:qFormat/>
    <w:uiPriority w:val="9"/>
    <w:rPr>
      <w:rFonts w:ascii="宋体" w:hAnsi="宋体" w:eastAsia="宋体" w:cs="宋体"/>
      <w:b/>
      <w:bCs/>
      <w:kern w:val="36"/>
      <w:sz w:val="48"/>
      <w:szCs w:val="48"/>
    </w:rPr>
  </w:style>
  <w:style w:type="character" w:customStyle="1" w:styleId="26">
    <w:name w:val="标题 3 Char"/>
    <w:basedOn w:val="19"/>
    <w:link w:val="4"/>
    <w:qFormat/>
    <w:uiPriority w:val="9"/>
    <w:rPr>
      <w:rFonts w:ascii="宋体" w:hAnsi="宋体" w:eastAsia="宋体" w:cs="宋体"/>
      <w:b/>
      <w:bCs/>
      <w:kern w:val="0"/>
      <w:sz w:val="27"/>
      <w:szCs w:val="27"/>
    </w:rPr>
  </w:style>
  <w:style w:type="character" w:customStyle="1" w:styleId="27">
    <w:name w:val="标题 4 Char"/>
    <w:basedOn w:val="19"/>
    <w:link w:val="5"/>
    <w:qFormat/>
    <w:uiPriority w:val="9"/>
    <w:rPr>
      <w:rFonts w:ascii="宋体" w:hAnsi="宋体" w:eastAsia="宋体" w:cs="宋体"/>
      <w:b/>
      <w:bCs/>
      <w:kern w:val="0"/>
      <w:sz w:val="24"/>
      <w:szCs w:val="24"/>
    </w:rPr>
  </w:style>
  <w:style w:type="character" w:customStyle="1" w:styleId="28">
    <w:name w:val="标题 5 Char"/>
    <w:basedOn w:val="19"/>
    <w:link w:val="6"/>
    <w:qFormat/>
    <w:uiPriority w:val="9"/>
    <w:rPr>
      <w:rFonts w:ascii="宋体" w:hAnsi="宋体" w:eastAsia="宋体" w:cs="宋体"/>
      <w:b/>
      <w:bCs/>
      <w:kern w:val="0"/>
      <w:sz w:val="20"/>
      <w:szCs w:val="20"/>
    </w:rPr>
  </w:style>
  <w:style w:type="character" w:customStyle="1" w:styleId="29">
    <w:name w:val="标题 6 Char"/>
    <w:basedOn w:val="19"/>
    <w:link w:val="7"/>
    <w:qFormat/>
    <w:uiPriority w:val="9"/>
    <w:rPr>
      <w:rFonts w:ascii="宋体" w:hAnsi="宋体" w:eastAsia="宋体" w:cs="宋体"/>
      <w:b/>
      <w:bCs/>
      <w:kern w:val="0"/>
      <w:sz w:val="15"/>
      <w:szCs w:val="15"/>
    </w:rPr>
  </w:style>
  <w:style w:type="character" w:customStyle="1" w:styleId="30">
    <w:name w:val="customize__projectname"/>
    <w:basedOn w:val="19"/>
    <w:qFormat/>
    <w:uiPriority w:val="0"/>
  </w:style>
  <w:style w:type="character" w:customStyle="1" w:styleId="31">
    <w:name w:val="customize_recordno"/>
    <w:basedOn w:val="19"/>
    <w:qFormat/>
    <w:uiPriority w:val="0"/>
  </w:style>
  <w:style w:type="character" w:customStyle="1" w:styleId="32">
    <w:name w:val="customize_project_code"/>
    <w:basedOn w:val="19"/>
    <w:qFormat/>
    <w:uiPriority w:val="0"/>
  </w:style>
  <w:style w:type="character" w:customStyle="1" w:styleId="33">
    <w:name w:val="customize_cgr"/>
    <w:basedOn w:val="19"/>
    <w:qFormat/>
    <w:uiPriority w:val="0"/>
  </w:style>
  <w:style w:type="character" w:customStyle="1" w:styleId="34">
    <w:name w:val="customize_agent"/>
    <w:basedOn w:val="19"/>
    <w:qFormat/>
    <w:uiPriority w:val="0"/>
  </w:style>
  <w:style w:type="character" w:customStyle="1" w:styleId="35">
    <w:name w:val="customize_cgrdz"/>
    <w:basedOn w:val="19"/>
    <w:qFormat/>
    <w:uiPriority w:val="0"/>
  </w:style>
  <w:style w:type="character" w:customStyle="1" w:styleId="36">
    <w:name w:val="customize_cgrdh"/>
    <w:basedOn w:val="19"/>
    <w:qFormat/>
    <w:uiPriority w:val="0"/>
  </w:style>
  <w:style w:type="character" w:customStyle="1" w:styleId="37">
    <w:name w:val="customize_agentadd"/>
    <w:basedOn w:val="19"/>
    <w:qFormat/>
    <w:uiPriority w:val="0"/>
  </w:style>
  <w:style w:type="character" w:customStyle="1" w:styleId="38">
    <w:name w:val="customize_agenttel"/>
    <w:basedOn w:val="19"/>
    <w:qFormat/>
    <w:uiPriority w:val="0"/>
  </w:style>
  <w:style w:type="character" w:customStyle="1" w:styleId="39">
    <w:name w:val="editlist"/>
    <w:basedOn w:val="19"/>
    <w:qFormat/>
    <w:uiPriority w:val="0"/>
  </w:style>
  <w:style w:type="character" w:customStyle="1" w:styleId="40">
    <w:name w:val="edittexttarea"/>
    <w:basedOn w:val="19"/>
    <w:qFormat/>
    <w:uiPriority w:val="0"/>
  </w:style>
  <w:style w:type="character" w:customStyle="1" w:styleId="41">
    <w:name w:val="editinput"/>
    <w:basedOn w:val="19"/>
    <w:qFormat/>
    <w:uiPriority w:val="0"/>
  </w:style>
  <w:style w:type="character" w:customStyle="1" w:styleId="42">
    <w:name w:val="文档结构图 Char"/>
    <w:basedOn w:val="19"/>
    <w:link w:val="8"/>
    <w:qFormat/>
    <w:uiPriority w:val="0"/>
    <w:rPr>
      <w:rFonts w:ascii="宋体" w:eastAsia="宋体"/>
      <w:sz w:val="18"/>
      <w:szCs w:val="18"/>
    </w:rPr>
  </w:style>
  <w:style w:type="character" w:customStyle="1" w:styleId="43">
    <w:name w:val="批注框文本 Char"/>
    <w:basedOn w:val="19"/>
    <w:link w:val="10"/>
    <w:semiHidden/>
    <w:qFormat/>
    <w:uiPriority w:val="99"/>
    <w:rPr>
      <w:sz w:val="18"/>
      <w:szCs w:val="18"/>
    </w:rPr>
  </w:style>
  <w:style w:type="character" w:customStyle="1" w:styleId="44">
    <w:name w:val="批注文字 Char"/>
    <w:basedOn w:val="19"/>
    <w:link w:val="9"/>
    <w:qFormat/>
    <w:uiPriority w:val="99"/>
    <w:rPr>
      <w:rFonts w:ascii="Times New Roman" w:hAnsi="Times New Roman" w:eastAsia="宋体" w:cs="Times New Roman"/>
      <w:szCs w:val="24"/>
    </w:rPr>
  </w:style>
  <w:style w:type="character" w:customStyle="1" w:styleId="45">
    <w:name w:val="标题 2 Char"/>
    <w:basedOn w:val="19"/>
    <w:link w:val="3"/>
    <w:qFormat/>
    <w:uiPriority w:val="9"/>
    <w:rPr>
      <w:rFonts w:asciiTheme="majorHAnsi" w:hAnsiTheme="majorHAnsi" w:eastAsiaTheme="majorEastAsia" w:cstheme="majorBidi"/>
      <w:b/>
      <w:bCs/>
      <w:sz w:val="32"/>
      <w:szCs w:val="32"/>
    </w:rPr>
  </w:style>
  <w:style w:type="paragraph" w:styleId="46">
    <w:name w:val="List Paragraph"/>
    <w:basedOn w:val="1"/>
    <w:qFormat/>
    <w:uiPriority w:val="34"/>
    <w:pPr>
      <w:ind w:firstLine="420" w:firstLineChars="200"/>
    </w:pPr>
  </w:style>
  <w:style w:type="paragraph" w:customStyle="1" w:styleId="47">
    <w:name w:val="TOC 标题1"/>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table" w:customStyle="1" w:styleId="48">
    <w:name w:val="网格型1"/>
    <w:basedOn w:val="1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9">
    <w:name w:val="网格型31"/>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4"/>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1">
    <w:name w:val="批注主题 Char"/>
    <w:basedOn w:val="44"/>
    <w:link w:val="16"/>
    <w:semiHidden/>
    <w:qFormat/>
    <w:uiPriority w:val="99"/>
    <w:rPr>
      <w:b/>
      <w:bCs/>
      <w:kern w:val="2"/>
      <w:sz w:val="21"/>
      <w:szCs w:val="22"/>
    </w:rPr>
  </w:style>
  <w:style w:type="paragraph" w:customStyle="1" w:styleId="52">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3">
    <w:name w:val="col-sm-6"/>
    <w:basedOn w:val="19"/>
    <w:qFormat/>
    <w:uiPriority w:val="0"/>
  </w:style>
  <w:style w:type="paragraph" w:customStyle="1" w:styleId="54">
    <w:name w:val="null3"/>
    <w:hidden/>
    <w:qFormat/>
    <w:uiPriority w:val="0"/>
    <w:rPr>
      <w:rFonts w:hint="eastAsia" w:asciiTheme="minorHAnsi" w:hAnsiTheme="minorHAnsi" w:eastAsiaTheme="minorEastAsia" w:cstheme="minorBidi"/>
      <w:lang w:val="en-US" w:eastAsia="zh-CN" w:bidi="ar-SA"/>
    </w:rPr>
  </w:style>
  <w:style w:type="character" w:customStyle="1" w:styleId="55">
    <w:name w:val="font11"/>
    <w:basedOn w:val="19"/>
    <w:qFormat/>
    <w:uiPriority w:val="0"/>
    <w:rPr>
      <w:rFonts w:hint="eastAsia" w:ascii="宋体" w:hAnsi="宋体" w:eastAsia="宋体" w:cs="宋体"/>
      <w:color w:val="000000"/>
      <w:sz w:val="20"/>
      <w:szCs w:val="20"/>
      <w:u w:val="none"/>
    </w:rPr>
  </w:style>
  <w:style w:type="character" w:customStyle="1" w:styleId="56">
    <w:name w:val="font21"/>
    <w:basedOn w:val="19"/>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4848-18BA-43E7-B48B-4A1B485A17EA}">
  <ds:schemaRefs/>
</ds:datastoreItem>
</file>

<file path=docProps/app.xml><?xml version="1.0" encoding="utf-8"?>
<Properties xmlns="http://schemas.openxmlformats.org/officeDocument/2006/extended-properties" xmlns:vt="http://schemas.openxmlformats.org/officeDocument/2006/docPropsVTypes">
  <Template>Normal</Template>
  <Company>cyu</Company>
  <Pages>125</Pages>
  <Words>2866</Words>
  <Characters>3032</Characters>
  <Lines>486</Lines>
  <Paragraphs>137</Paragraphs>
  <TotalTime>0</TotalTime>
  <ScaleCrop>false</ScaleCrop>
  <LinksUpToDate>false</LinksUpToDate>
  <CharactersWithSpaces>3130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2022-04-08T00:36:00Z</dcterms:created>
  <dc:creator>Administrator</dc:creator>
  <cp:lastModifiedBy>-Mr.Mircale</cp:lastModifiedBy>
  <cp:lastPrinted>2025-08-21T08:16:00Z</cp:lastPrinted>
  <dcterms:modified xsi:type="dcterms:W3CDTF">2025-08-27T04:08:22Z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947CB5194EDC415AA7EC3931213C4CDA_13</vt:lpwstr>
  </property>
  <property fmtid="{D5CDD505-2E9C-101B-9397-08002B2CF9AE}" pid="4" name="KSOTemplateDocerSaveRecord">
    <vt:lpwstr>eyJoZGlkIjoiNTU0ZmIwYTQ3NzlmZGUxZmU3Zjk0M2IyZTNmM2IxNjAiLCJ1c2VySWQiOiIyMzQ3NTA2NDYifQ==</vt:lpwstr>
  </property>
</Properties>
</file>