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C92EE">
      <w:pPr>
        <w:spacing w:before="50" w:after="50"/>
        <w:jc w:val="left"/>
        <w:rPr>
          <w:rFonts w:ascii="宋体" w:hAnsi="宋体" w:eastAsia="宋体" w:cs="宋体"/>
          <w:b/>
          <w:bCs/>
          <w:color w:val="auto"/>
          <w:kern w:val="0"/>
          <w:sz w:val="48"/>
          <w:szCs w:val="48"/>
          <w:highlight w:val="none"/>
        </w:rPr>
      </w:pPr>
    </w:p>
    <w:p w14:paraId="74A0412C">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福建省政府采购</w:t>
      </w:r>
    </w:p>
    <w:p w14:paraId="14B29D5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货物和服务项目</w:t>
      </w:r>
    </w:p>
    <w:p w14:paraId="3A69AAE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公开招标文件</w:t>
      </w:r>
    </w:p>
    <w:p w14:paraId="0DED59BA">
      <w:pPr>
        <w:jc w:val="center"/>
        <w:rPr>
          <w:rFonts w:cs="宋体" w:asciiTheme="minorEastAsia" w:hAnsiTheme="minorEastAsia"/>
          <w:b/>
          <w:bCs/>
          <w:color w:val="auto"/>
          <w:kern w:val="0"/>
          <w:sz w:val="72"/>
          <w:szCs w:val="53"/>
          <w:highlight w:val="none"/>
        </w:rPr>
      </w:pPr>
    </w:p>
    <w:p w14:paraId="2D52CDED">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项目名称：</w:t>
      </w:r>
      <w:r>
        <w:rPr>
          <w:rFonts w:hint="eastAsia" w:cs="宋体" w:asciiTheme="minorEastAsia" w:hAnsiTheme="minorEastAsia"/>
          <w:b/>
          <w:bCs/>
          <w:color w:val="auto"/>
          <w:kern w:val="0"/>
          <w:sz w:val="32"/>
          <w:szCs w:val="32"/>
          <w:highlight w:val="none"/>
          <w:lang w:eastAsia="zh-CN"/>
        </w:rPr>
        <w:t>东溪上峰水闸重建工程</w:t>
      </w:r>
    </w:p>
    <w:p w14:paraId="3DDFC998">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备案编号：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67EE4594">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08578CE3">
      <w:pPr>
        <w:spacing w:line="360" w:lineRule="auto"/>
        <w:jc w:val="center"/>
        <w:rPr>
          <w:rFonts w:cs="宋体" w:asciiTheme="minorEastAsia" w:hAnsiTheme="minorEastAsia"/>
          <w:b/>
          <w:bCs/>
          <w:color w:val="auto"/>
          <w:kern w:val="0"/>
          <w:sz w:val="32"/>
          <w:szCs w:val="32"/>
          <w:highlight w:val="none"/>
        </w:rPr>
      </w:pPr>
    </w:p>
    <w:p w14:paraId="604378BE">
      <w:pPr>
        <w:spacing w:line="360" w:lineRule="auto"/>
        <w:jc w:val="center"/>
        <w:rPr>
          <w:rFonts w:cs="宋体" w:asciiTheme="minorEastAsia" w:hAnsiTheme="minorEastAsia"/>
          <w:b/>
          <w:bCs/>
          <w:color w:val="auto"/>
          <w:kern w:val="0"/>
          <w:sz w:val="32"/>
          <w:szCs w:val="32"/>
          <w:highlight w:val="none"/>
        </w:rPr>
      </w:pPr>
    </w:p>
    <w:p w14:paraId="0A80A007">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采购人：</w:t>
      </w:r>
      <w:r>
        <w:rPr>
          <w:rFonts w:hint="eastAsia" w:cs="宋体" w:asciiTheme="minorEastAsia" w:hAnsiTheme="minorEastAsia"/>
          <w:b/>
          <w:bCs/>
          <w:color w:val="auto"/>
          <w:kern w:val="0"/>
          <w:sz w:val="32"/>
          <w:szCs w:val="32"/>
          <w:highlight w:val="none"/>
          <w:lang w:eastAsia="zh-CN"/>
        </w:rPr>
        <w:t>厦门市同安区五显镇人民政府</w:t>
      </w:r>
    </w:p>
    <w:p w14:paraId="3F4D187F">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代理机构：</w:t>
      </w:r>
      <w:r>
        <w:rPr>
          <w:rFonts w:hint="eastAsia" w:cs="宋体" w:asciiTheme="minorEastAsia" w:hAnsiTheme="minorEastAsia"/>
          <w:b/>
          <w:bCs/>
          <w:color w:val="auto"/>
          <w:kern w:val="0"/>
          <w:sz w:val="32"/>
          <w:szCs w:val="32"/>
          <w:highlight w:val="none"/>
          <w:lang w:eastAsia="zh-CN"/>
        </w:rPr>
        <w:t>福建皆荣工程管理有限公司</w:t>
      </w:r>
    </w:p>
    <w:p w14:paraId="7F8557BE">
      <w:pPr>
        <w:spacing w:line="360" w:lineRule="auto"/>
        <w:jc w:val="center"/>
        <w:rPr>
          <w:rFonts w:cs="宋体" w:asciiTheme="minorEastAsia" w:hAnsiTheme="minorEastAsia"/>
          <w:b/>
          <w:bCs/>
          <w:color w:val="auto"/>
          <w:kern w:val="0"/>
          <w:sz w:val="32"/>
          <w:szCs w:val="32"/>
          <w:highlight w:val="none"/>
        </w:rPr>
      </w:pPr>
    </w:p>
    <w:p w14:paraId="73D1D750">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编制时间：</w:t>
      </w:r>
      <w:r>
        <w:rPr>
          <w:rFonts w:cs="宋体" w:asciiTheme="minorEastAsia" w:hAnsiTheme="minorEastAsia"/>
          <w:b/>
          <w:bCs/>
          <w:color w:val="auto"/>
          <w:kern w:val="0"/>
          <w:sz w:val="32"/>
          <w:szCs w:val="32"/>
          <w:highlight w:val="none"/>
        </w:rPr>
        <w:t>202</w:t>
      </w:r>
      <w:r>
        <w:rPr>
          <w:rFonts w:hint="eastAsia" w:cs="宋体" w:asciiTheme="minorEastAsia" w:hAnsiTheme="minorEastAsia"/>
          <w:b/>
          <w:bCs/>
          <w:color w:val="auto"/>
          <w:kern w:val="0"/>
          <w:sz w:val="32"/>
          <w:szCs w:val="32"/>
          <w:highlight w:val="none"/>
        </w:rPr>
        <w:t>5</w:t>
      </w:r>
      <w:r>
        <w:rPr>
          <w:rFonts w:cs="宋体" w:asciiTheme="minorEastAsia" w:hAnsiTheme="minorEastAsia"/>
          <w:b/>
          <w:bCs/>
          <w:color w:val="auto"/>
          <w:kern w:val="0"/>
          <w:sz w:val="32"/>
          <w:szCs w:val="32"/>
          <w:highlight w:val="none"/>
        </w:rPr>
        <w:t>年</w:t>
      </w:r>
      <w:r>
        <w:rPr>
          <w:rFonts w:hint="eastAsia" w:cs="宋体" w:asciiTheme="minorEastAsia" w:hAnsiTheme="minorEastAsia"/>
          <w:b/>
          <w:bCs/>
          <w:color w:val="auto"/>
          <w:kern w:val="0"/>
          <w:sz w:val="32"/>
          <w:szCs w:val="32"/>
          <w:highlight w:val="none"/>
          <w:lang w:val="en-US" w:eastAsia="zh-CN"/>
        </w:rPr>
        <w:t>8</w:t>
      </w:r>
      <w:r>
        <w:rPr>
          <w:rFonts w:cs="宋体" w:asciiTheme="minorEastAsia" w:hAnsiTheme="minorEastAsia"/>
          <w:b/>
          <w:bCs/>
          <w:color w:val="auto"/>
          <w:kern w:val="0"/>
          <w:sz w:val="32"/>
          <w:szCs w:val="32"/>
          <w:highlight w:val="none"/>
        </w:rPr>
        <w:t>月</w:t>
      </w:r>
    </w:p>
    <w:p w14:paraId="18FEA832">
      <w:pPr>
        <w:rPr>
          <w:color w:val="auto"/>
          <w:highlight w:val="none"/>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highlight w:val="none"/>
          <w:lang w:val="en-US"/>
        </w:rPr>
      </w:sdtEndPr>
      <w:sdtContent>
        <w:p w14:paraId="533C117D">
          <w:pPr>
            <w:pStyle w:val="47"/>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0FB72B9B">
          <w:pPr>
            <w:pStyle w:val="13"/>
            <w:tabs>
              <w:tab w:val="right" w:leader="dot" w:pos="9060"/>
            </w:tabs>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TOC \o "1-3" \h \z \u </w:instrText>
          </w:r>
          <w:r>
            <w:rPr>
              <w:rFonts w:asciiTheme="minorEastAsia" w:hAnsi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"_Toc139103804"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第一章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投标邀请</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B7E859B">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第二章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投标人须知前附表</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67BA171">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一、投标人须知前附表</w:t>
          </w:r>
          <w:r>
            <w:rPr>
              <w:rStyle w:val="21"/>
              <w:rFonts w:cs="Times New Roman" w:asciiTheme="minorEastAsia" w:hAnsiTheme="minorEastAsia"/>
              <w:color w:val="auto"/>
              <w:kern w:val="0"/>
              <w:sz w:val="24"/>
              <w:szCs w:val="24"/>
              <w:highlight w:val="none"/>
            </w:rPr>
            <w:t>1</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558ABF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二、投标人须知前附表</w:t>
          </w:r>
          <w:r>
            <w:rPr>
              <w:rStyle w:val="21"/>
              <w:rFonts w:cs="Times New Roman" w:asciiTheme="minorEastAsia" w:hAnsiTheme="minorEastAsia"/>
              <w:color w:val="auto"/>
              <w:kern w:val="0"/>
              <w:sz w:val="24"/>
              <w:szCs w:val="24"/>
              <w:highlight w:val="none"/>
            </w:rPr>
            <w:t>2</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10</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DF110C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第三章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EDDDBD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一、总则</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5A82EF">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7DB395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三、招标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F462C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四、投标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3278ACF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五、开标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35D10D6">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六、中标与政府采购合同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81A82FA">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七、询问、质疑与投诉</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A6224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八、政府采购政策</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424B5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九、本项目的有关信息</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E74F3A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十、其他事项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7918510">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第四章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资格审查与评标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4B92F4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一、资格审查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1B09B4D">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29F970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第五章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招标内容及要求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A97C7A0">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一、项目概况（采购标的）</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E06AEF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二、技术和服务要求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C892869">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三、商务要求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56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148353B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4007D4E">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第六章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908969D">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第七章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电子投标文件格式</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0EEE89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end"/>
          </w:r>
        </w:p>
      </w:sdtContent>
    </w:sdt>
    <w:p w14:paraId="38559A32">
      <w:pPr>
        <w:rPr>
          <w:color w:val="auto"/>
          <w:highlight w:val="none"/>
        </w:rPr>
      </w:pPr>
    </w:p>
    <w:p w14:paraId="0298D6E1">
      <w:pPr>
        <w:rPr>
          <w:color w:val="auto"/>
          <w:highlight w:val="none"/>
        </w:rPr>
        <w:sectPr>
          <w:pgSz w:w="11906" w:h="16838"/>
          <w:pgMar w:top="1418" w:right="1418" w:bottom="1418" w:left="1418" w:header="851" w:footer="992" w:gutter="0"/>
          <w:cols w:space="425" w:num="1"/>
          <w:docGrid w:type="lines" w:linePitch="312" w:charSpace="0"/>
        </w:sectPr>
      </w:pPr>
    </w:p>
    <w:p w14:paraId="3EEE929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0" w:name="_Toc139103804"/>
      <w:r>
        <w:rPr>
          <w:rFonts w:ascii="黑体" w:hAnsi="黑体" w:eastAsia="黑体" w:cs="Times New Roman"/>
          <w:color w:val="auto"/>
          <w:kern w:val="0"/>
          <w:sz w:val="32"/>
          <w:szCs w:val="44"/>
          <w:highlight w:val="none"/>
        </w:rPr>
        <w:t>第一章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投标邀请</w:t>
      </w:r>
      <w:bookmarkEnd w:id="0"/>
    </w:p>
    <w:p w14:paraId="731576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采用公开招标方式组织</w:t>
      </w:r>
      <w:r>
        <w:rPr>
          <w:rFonts w:hint="eastAsia" w:asciiTheme="minorEastAsia" w:hAnsiTheme="minorEastAsia"/>
          <w:b/>
          <w:bCs/>
          <w:color w:val="auto"/>
          <w:sz w:val="24"/>
          <w:szCs w:val="24"/>
          <w:highlight w:val="none"/>
          <w:u w:val="single"/>
          <w:lang w:eastAsia="zh-CN"/>
        </w:rPr>
        <w:t>东溪上峰水闸重建工程</w:t>
      </w:r>
      <w:r>
        <w:rPr>
          <w:rFonts w:asciiTheme="minorEastAsia" w:hAnsiTheme="minorEastAsia"/>
          <w:color w:val="auto"/>
          <w:sz w:val="24"/>
          <w:szCs w:val="24"/>
          <w:highlight w:val="none"/>
        </w:rPr>
        <w:t>（以下简称：“本项目”）的政府采购活动，现邀请供应商参加投标。</w:t>
      </w:r>
    </w:p>
    <w:p w14:paraId="2273CA05">
      <w:pPr>
        <w:pStyle w:val="54"/>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1、备案编号：</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系统自动生成</w:t>
      </w:r>
      <w:r>
        <w:rPr>
          <w:rFonts w:hint="eastAsia" w:asciiTheme="minorEastAsia" w:hAnsiTheme="minorEastAsia"/>
          <w:color w:val="auto"/>
          <w:sz w:val="24"/>
          <w:szCs w:val="24"/>
          <w:highlight w:val="none"/>
          <w:lang w:eastAsia="zh-CN"/>
        </w:rPr>
        <w:t>）</w:t>
      </w:r>
    </w:p>
    <w:p w14:paraId="46BA87FF">
      <w:pPr>
        <w:pStyle w:val="54"/>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2、项目编号：</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系统自动生成</w:t>
      </w:r>
      <w:r>
        <w:rPr>
          <w:rFonts w:hint="eastAsia" w:asciiTheme="minorEastAsia" w:hAnsiTheme="minorEastAsia"/>
          <w:color w:val="auto"/>
          <w:sz w:val="24"/>
          <w:szCs w:val="24"/>
          <w:highlight w:val="none"/>
          <w:lang w:eastAsia="zh-CN"/>
        </w:rPr>
        <w:t>）</w:t>
      </w:r>
    </w:p>
    <w:p w14:paraId="39615D8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3、预算金额、最高限价：详见《采购标的一览表》。</w:t>
      </w:r>
    </w:p>
    <w:p w14:paraId="2B8C8A9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4、招标内容及要求：详见《采购标的一览表》及招标文件第五章。</w:t>
      </w:r>
    </w:p>
    <w:p w14:paraId="3231B23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5、需要落实的政府采购政策</w:t>
      </w:r>
    </w:p>
    <w:p w14:paraId="06B9610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进口产品：本项目不接受进口产品参与投标。</w:t>
      </w:r>
    </w:p>
    <w:p w14:paraId="75FE88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节能产品：按照节能产品政府采购品目清单执行。</w:t>
      </w:r>
    </w:p>
    <w:p w14:paraId="5CDF8DE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环境标志产品：按照环境标志产品政府采购品目清单执行。</w:t>
      </w:r>
    </w:p>
    <w:p w14:paraId="7C3F6459">
      <w:pPr>
        <w:spacing w:line="360" w:lineRule="auto"/>
        <w:jc w:val="left"/>
        <w:rPr>
          <w:rFonts w:asciiTheme="minorEastAsia" w:hAnsiTheme="minorEastAsia"/>
          <w:color w:val="auto"/>
          <w:kern w:val="0"/>
          <w:sz w:val="24"/>
          <w:szCs w:val="24"/>
          <w:highlight w:val="none"/>
        </w:rPr>
      </w:pPr>
    </w:p>
    <w:p w14:paraId="5EEF0646">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促进中小企业发展的相关政策：</w:t>
      </w:r>
    </w:p>
    <w:p w14:paraId="4AED6377">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采购包1：要求合同分包</w:t>
      </w:r>
    </w:p>
    <w:p w14:paraId="1D1082B3">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面向的企业规模：中小企业</w:t>
      </w:r>
    </w:p>
    <w:p w14:paraId="597862F5">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预留形式：要求合同分包</w:t>
      </w:r>
    </w:p>
    <w:p w14:paraId="2CD8164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kern w:val="2"/>
          <w:sz w:val="24"/>
          <w:szCs w:val="24"/>
          <w:highlight w:val="none"/>
        </w:rPr>
        <w:t>预留比例：</w:t>
      </w:r>
      <w:r>
        <w:rPr>
          <w:rFonts w:hint="eastAsia" w:asciiTheme="minorEastAsia" w:hAnsiTheme="minorEastAsia"/>
          <w:color w:val="auto"/>
          <w:kern w:val="2"/>
          <w:sz w:val="24"/>
          <w:szCs w:val="24"/>
          <w:highlight w:val="none"/>
          <w:lang w:val="en-US" w:eastAsia="zh-CN"/>
        </w:rPr>
        <w:t>40</w:t>
      </w:r>
      <w:r>
        <w:rPr>
          <w:rFonts w:asciiTheme="minorEastAsia" w:hAnsiTheme="minorEastAsia"/>
          <w:color w:val="auto"/>
          <w:kern w:val="2"/>
          <w:sz w:val="24"/>
          <w:szCs w:val="24"/>
          <w:highlight w:val="none"/>
        </w:rPr>
        <w:t>%</w:t>
      </w:r>
    </w:p>
    <w:p w14:paraId="54D7F52A">
      <w:pPr>
        <w:pStyle w:val="54"/>
        <w:widowControl w:val="0"/>
        <w:spacing w:line="360" w:lineRule="auto"/>
        <w:ind w:firstLine="480" w:firstLineChars="200"/>
        <w:rPr>
          <w:rFonts w:hint="default" w:asciiTheme="minorEastAsia" w:hAnsiTheme="minorEastAsia"/>
          <w:color w:val="auto"/>
          <w:sz w:val="24"/>
          <w:szCs w:val="24"/>
          <w:highlight w:val="none"/>
        </w:rPr>
      </w:pPr>
    </w:p>
    <w:p w14:paraId="16335D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6、投标人的资格要求</w:t>
      </w:r>
    </w:p>
    <w:p w14:paraId="6A65D17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6.1法定条件：符合政府采购法第二十二条第一款规定的条件。</w:t>
      </w:r>
    </w:p>
    <w:p w14:paraId="2FAE1A2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6.2特定条件：</w:t>
      </w:r>
    </w:p>
    <w:p w14:paraId="40DCAD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258E8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751769B">
            <w:pPr>
              <w:spacing w:line="276" w:lineRule="auto"/>
              <w:jc w:val="center"/>
              <w:rPr>
                <w:color w:val="auto"/>
                <w:sz w:val="24"/>
                <w:szCs w:val="24"/>
                <w:highlight w:val="none"/>
              </w:rPr>
            </w:pPr>
            <w:r>
              <w:rPr>
                <w:color w:val="auto"/>
                <w:sz w:val="24"/>
                <w:szCs w:val="24"/>
                <w:highlight w:val="none"/>
              </w:rPr>
              <w:t>资格审查要求概况</w:t>
            </w:r>
          </w:p>
        </w:tc>
        <w:tc>
          <w:tcPr>
            <w:tcW w:w="6216" w:type="dxa"/>
            <w:vAlign w:val="center"/>
          </w:tcPr>
          <w:p w14:paraId="092CAC52">
            <w:pPr>
              <w:spacing w:line="276" w:lineRule="auto"/>
              <w:jc w:val="center"/>
              <w:rPr>
                <w:color w:val="auto"/>
                <w:sz w:val="24"/>
                <w:szCs w:val="24"/>
                <w:highlight w:val="none"/>
              </w:rPr>
            </w:pPr>
            <w:r>
              <w:rPr>
                <w:color w:val="auto"/>
                <w:sz w:val="24"/>
                <w:szCs w:val="24"/>
                <w:highlight w:val="none"/>
              </w:rPr>
              <w:t>评审点具体描述</w:t>
            </w:r>
          </w:p>
        </w:tc>
      </w:tr>
      <w:tr w14:paraId="2D8D6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837356A">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216" w:type="dxa"/>
            <w:vAlign w:val="center"/>
          </w:tcPr>
          <w:p w14:paraId="7B0ED264">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1、信用信息查询渠道：通过“信用中国”网站（www.creditchina.gov.cn）、中国政府采购网（www.ccgp.gov.cn）、“信用厦门”网站（credit.xm.gov.cn）查询所有</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 xml:space="preserve">的信用信息。 </w:t>
            </w:r>
          </w:p>
          <w:p w14:paraId="29ACCE44">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截止开标当天前三年内的信用信息。</w:t>
            </w:r>
          </w:p>
          <w:p w14:paraId="56E53AB6">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6FBE0572">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存在不良信用记录（包含列入失信被执行人、重大税收违法失信主体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信息的，不认定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资格审查不合格；评审结束后，通过其他渠道发现</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存在不良信用记录的，不认定为资格审查错误，将依照有关规定进行调查处理。（3）联合体成员存在不良信用记录的，视同联合体存在不良信用记录，联合体资格审查不合格。</w:t>
            </w:r>
          </w:p>
          <w:p w14:paraId="050DBBD4">
            <w:pPr>
              <w:spacing w:line="276" w:lineRule="auto"/>
              <w:rPr>
                <w:color w:val="auto"/>
                <w:sz w:val="24"/>
                <w:szCs w:val="24"/>
                <w:highlight w:val="none"/>
              </w:rPr>
            </w:pP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无需提供信用信息查询结果。若</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自行提供查询结果的，仍以评标当天查询结果为准。</w:t>
            </w:r>
          </w:p>
        </w:tc>
      </w:tr>
      <w:tr w14:paraId="7E51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BFDD8AC">
            <w:pPr>
              <w:spacing w:line="276" w:lineRule="auto"/>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资格承诺函</w:t>
            </w:r>
          </w:p>
        </w:tc>
        <w:tc>
          <w:tcPr>
            <w:tcW w:w="6216" w:type="dxa"/>
            <w:vAlign w:val="center"/>
          </w:tcPr>
          <w:p w14:paraId="7EDBC454">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0DE4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5865017">
            <w:pPr>
              <w:spacing w:line="276" w:lineRule="auto"/>
              <w:jc w:val="center"/>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落实中小企业扶持政策要求（预留份额）</w:t>
            </w:r>
          </w:p>
        </w:tc>
        <w:tc>
          <w:tcPr>
            <w:tcW w:w="6216" w:type="dxa"/>
            <w:vAlign w:val="center"/>
          </w:tcPr>
          <w:p w14:paraId="366BDC47">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（1）本采购包落实中小企业扶持政策要求的方式：预留份额专门面向中小企业采购。</w:t>
            </w:r>
          </w:p>
          <w:p w14:paraId="0BD45FF5">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（2）预留比例：中小企业制造的产品金额不低于投标总额的40%，其中小微企业制造的产品金额不低于投标总额的24%。</w:t>
            </w:r>
          </w:p>
          <w:p w14:paraId="394A8600">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（3）投标人需按第五章补充条款要求提供相关材料，否则投标无效。</w:t>
            </w:r>
          </w:p>
        </w:tc>
      </w:tr>
      <w:tr w14:paraId="3CC5E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043FD61">
            <w:pPr>
              <w:spacing w:line="276" w:lineRule="auto"/>
              <w:jc w:val="center"/>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采购人根据采购项目的要求规定的特定条件</w:t>
            </w:r>
          </w:p>
        </w:tc>
        <w:tc>
          <w:tcPr>
            <w:tcW w:w="6216" w:type="dxa"/>
            <w:vAlign w:val="center"/>
          </w:tcPr>
          <w:p w14:paraId="65F89D4D">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1</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rPr>
              <w:t>供应商应具有合格有效的行政主管部门颁发的水工金属结构制作</w:t>
            </w:r>
            <w:r>
              <w:rPr>
                <w:rFonts w:hint="eastAsia" w:ascii="宋体" w:hAnsi="宋体" w:cs="宋体"/>
                <w:color w:val="auto"/>
                <w:kern w:val="0"/>
                <w:sz w:val="24"/>
                <w:szCs w:val="20"/>
                <w:highlight w:val="none"/>
                <w:lang w:val="en-US" w:eastAsia="zh-CN"/>
              </w:rPr>
              <w:t>与安装工程专业承包</w:t>
            </w:r>
            <w:r>
              <w:rPr>
                <w:rFonts w:hint="eastAsia" w:ascii="宋体" w:hAnsi="宋体" w:cs="宋体"/>
                <w:color w:val="auto"/>
                <w:kern w:val="0"/>
                <w:sz w:val="24"/>
                <w:szCs w:val="20"/>
                <w:highlight w:val="none"/>
              </w:rPr>
              <w:t>三级（含）以上资质，并提供有效资质证书扫描件。注：供应商提供的资质证书有效期已届满的，必须在磋商响应文件中提供相应资质审批部门关于资质证书自动延期的有关文件。</w:t>
            </w:r>
          </w:p>
          <w:p w14:paraId="74530E4B">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rPr>
              <w:t>供应商应具有合格有效的行政主管部门颁发的施工企业安全生产许可证，并提供有效期内的证书扫描件。</w:t>
            </w:r>
          </w:p>
        </w:tc>
      </w:tr>
    </w:tbl>
    <w:p w14:paraId="3B9F89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6.3是否接受联合体投标：</w:t>
      </w:r>
    </w:p>
    <w:p w14:paraId="181DBB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采购包1：不接受。</w:t>
      </w:r>
    </w:p>
    <w:p w14:paraId="5589E157">
      <w:pPr>
        <w:pStyle w:val="54"/>
        <w:widowControl w:val="0"/>
        <w:spacing w:line="360" w:lineRule="auto"/>
        <w:ind w:firstLine="482" w:firstLineChars="200"/>
        <w:jc w:val="both"/>
        <w:rPr>
          <w:rFonts w:hint="default" w:asciiTheme="minorEastAsia" w:hAnsiTheme="minorEastAsia"/>
          <w:color w:val="auto"/>
          <w:sz w:val="24"/>
          <w:szCs w:val="24"/>
          <w:highlight w:val="none"/>
        </w:rPr>
      </w:pPr>
      <w:r>
        <w:rPr>
          <w:rFonts w:asciiTheme="minorEastAsia" w:hAnsiTheme="minorEastAsia"/>
          <w:b/>
          <w:color w:val="auto"/>
          <w:sz w:val="24"/>
          <w:szCs w:val="24"/>
          <w:highlight w:val="none"/>
        </w:rPr>
        <w:t>※根据上述资格要求，电子投标文件中应提交的“投标人的资格及资信证明文件”详见招标文件第四章。</w:t>
      </w:r>
    </w:p>
    <w:p w14:paraId="15AA3696">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7、招标文件的获取</w:t>
      </w:r>
    </w:p>
    <w:p w14:paraId="7A4EEE0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7.1、招标文件获取期限：详见招标公告或更正公告，若不一致，以更正公告为准。</w:t>
      </w:r>
    </w:p>
    <w:p w14:paraId="01554BD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58E29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7.3、获取地点及方式：注册账号后，通过福建省政府采购网上公开信息系统以下载方式获取。</w:t>
      </w:r>
    </w:p>
    <w:p w14:paraId="2744EF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7.4、招标文件售价：0元。</w:t>
      </w:r>
    </w:p>
    <w:p w14:paraId="51678839">
      <w:pPr>
        <w:pStyle w:val="54"/>
        <w:widowControl w:val="0"/>
        <w:spacing w:line="360" w:lineRule="auto"/>
        <w:ind w:firstLine="482" w:firstLineChars="200"/>
        <w:jc w:val="both"/>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8、投标截止</w:t>
      </w:r>
    </w:p>
    <w:p w14:paraId="434A22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8.1、投标截止时间：详见招标公告或更正公告，若不一致，以更正公告为准。</w:t>
      </w:r>
    </w:p>
    <w:p w14:paraId="441D3A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682D3AF8">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9、开标时间及地点</w:t>
      </w:r>
    </w:p>
    <w:p w14:paraId="768A703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详见招标公告或更正公告，若不一致，以更正公告为准。</w:t>
      </w:r>
    </w:p>
    <w:p w14:paraId="4C079B69">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10、公告期限</w:t>
      </w:r>
    </w:p>
    <w:p w14:paraId="7F3B460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10.1、招标公告的公告期限：自财政部和福建省财政厅指定的政府采购信息发布媒体最先发布公告之日起5个工作日。</w:t>
      </w:r>
    </w:p>
    <w:p w14:paraId="3AAD91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10.2、招标文件公告期限：招标文件随同招标公告一并发布，其公告期限与招标公告的公告期限保持一致。</w:t>
      </w:r>
    </w:p>
    <w:p w14:paraId="4797E997">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11、采购人：</w:t>
      </w:r>
      <w:r>
        <w:rPr>
          <w:rFonts w:hint="eastAsia" w:asciiTheme="minorEastAsia" w:hAnsiTheme="minorEastAsia"/>
          <w:b/>
          <w:color w:val="auto"/>
          <w:sz w:val="24"/>
          <w:szCs w:val="24"/>
          <w:highlight w:val="none"/>
          <w:lang w:eastAsia="zh-CN"/>
        </w:rPr>
        <w:t>厦门市同安区五显镇人民政府</w:t>
      </w:r>
    </w:p>
    <w:p w14:paraId="2C33D4E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福建省厦门市同安区五显镇西洋路9号</w:t>
      </w:r>
    </w:p>
    <w:p w14:paraId="52AC6010">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rPr>
        <w:t>3611</w:t>
      </w:r>
      <w:r>
        <w:rPr>
          <w:rFonts w:hint="eastAsia" w:asciiTheme="minorEastAsia" w:hAnsiTheme="minorEastAsia"/>
          <w:color w:val="auto"/>
          <w:sz w:val="24"/>
          <w:szCs w:val="24"/>
          <w:highlight w:val="none"/>
          <w:lang w:val="en-US" w:eastAsia="zh-CN"/>
        </w:rPr>
        <w:t>00</w:t>
      </w:r>
    </w:p>
    <w:p w14:paraId="69F7FBFE">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lang w:val="en-US" w:eastAsia="zh-CN"/>
        </w:rPr>
        <w:t>许先生</w:t>
      </w:r>
    </w:p>
    <w:p w14:paraId="2F6E83C7">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0592-7150135</w:t>
      </w:r>
    </w:p>
    <w:p w14:paraId="49E9779F">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12、代理机构：</w:t>
      </w:r>
      <w:r>
        <w:rPr>
          <w:rFonts w:hint="eastAsia" w:asciiTheme="minorEastAsia" w:hAnsiTheme="minorEastAsia"/>
          <w:b/>
          <w:color w:val="auto"/>
          <w:sz w:val="24"/>
          <w:szCs w:val="24"/>
          <w:highlight w:val="none"/>
          <w:lang w:eastAsia="zh-CN"/>
        </w:rPr>
        <w:t>福建皆荣工程管理有限公司</w:t>
      </w:r>
    </w:p>
    <w:p w14:paraId="419D1A15">
      <w:pPr>
        <w:pStyle w:val="54"/>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lang w:eastAsia="zh-CN"/>
        </w:rPr>
        <w:t>厦门市同安区大同街道后炉社区北镇二里9-7号</w:t>
      </w:r>
    </w:p>
    <w:p w14:paraId="2382C309">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lang w:val="en-US" w:eastAsia="zh-CN"/>
        </w:rPr>
        <w:t>361100</w:t>
      </w:r>
    </w:p>
    <w:p w14:paraId="3786BC4B">
      <w:pPr>
        <w:pStyle w:val="54"/>
        <w:widowControl w:val="0"/>
        <w:spacing w:line="360" w:lineRule="auto"/>
        <w:ind w:firstLine="480" w:firstLineChars="200"/>
        <w:rPr>
          <w:rFonts w:hint="eastAsia"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lang w:val="en-US" w:eastAsia="zh-CN"/>
        </w:rPr>
        <w:t>吴女士</w:t>
      </w:r>
    </w:p>
    <w:p w14:paraId="78808961">
      <w:pPr>
        <w:pStyle w:val="54"/>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eastAsia="zh-CN"/>
        </w:rPr>
        <w:t>13003938836</w:t>
      </w:r>
    </w:p>
    <w:p w14:paraId="4248B47E">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1BCC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0C68443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投标保证金账户</w:t>
            </w:r>
          </w:p>
        </w:tc>
      </w:tr>
      <w:tr w14:paraId="2113D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771E67F">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开户名称：</w:t>
            </w:r>
            <w:r>
              <w:rPr>
                <w:rFonts w:hint="eastAsia" w:asciiTheme="minorEastAsia" w:hAnsiTheme="minorEastAsia"/>
                <w:color w:val="auto"/>
                <w:sz w:val="24"/>
                <w:szCs w:val="24"/>
                <w:highlight w:val="none"/>
                <w:lang w:eastAsia="zh-CN"/>
              </w:rPr>
              <w:t>福建皆荣工程管理有限公司</w:t>
            </w:r>
          </w:p>
        </w:tc>
      </w:tr>
      <w:tr w14:paraId="35668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BCD06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开户银行：供应商在福建省政府采购网上公开信息系统获取招标文件后，根据其提示自行选择要缴交的投标保证金托管银行。</w:t>
            </w:r>
          </w:p>
        </w:tc>
      </w:tr>
      <w:tr w14:paraId="76986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81D9FF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E82A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E8169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w:t>
            </w:r>
          </w:p>
        </w:tc>
      </w:tr>
      <w:tr w14:paraId="74138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C48889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1、投标人应认真核对账户信息，将投标保证金汇入以上账户，并自行承担因汇错投标保证金而产生的一切后果。</w:t>
            </w:r>
          </w:p>
          <w:p w14:paraId="5F19602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2、投标人在转账或电汇的凭证上应按照以下格式注明，以便核对：“（项目编号：***）的投标保证金”。</w:t>
            </w:r>
          </w:p>
        </w:tc>
      </w:tr>
    </w:tbl>
    <w:p w14:paraId="30A9DCE2">
      <w:pPr>
        <w:pStyle w:val="54"/>
        <w:widowControl w:val="0"/>
        <w:spacing w:line="360" w:lineRule="auto"/>
        <w:ind w:firstLine="482" w:firstLineChars="200"/>
        <w:rPr>
          <w:rFonts w:hint="default" w:asciiTheme="minorEastAsia" w:hAnsiTheme="minorEastAsia"/>
          <w:b/>
          <w:color w:val="auto"/>
          <w:sz w:val="24"/>
          <w:szCs w:val="24"/>
          <w:highlight w:val="none"/>
        </w:rPr>
      </w:pPr>
    </w:p>
    <w:p w14:paraId="71DE970A">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附2：采购标的一览表</w:t>
      </w:r>
    </w:p>
    <w:p w14:paraId="7C3F183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20489FD4">
      <w:pPr>
        <w:pStyle w:val="54"/>
        <w:widowControl w:val="0"/>
        <w:spacing w:line="360" w:lineRule="auto"/>
        <w:ind w:firstLine="480" w:firstLineChars="200"/>
        <w:rPr>
          <w:rFonts w:hint="default" w:asciiTheme="minorEastAsia" w:hAnsiTheme="minorEastAsia"/>
          <w:color w:val="auto"/>
          <w:sz w:val="24"/>
          <w:szCs w:val="24"/>
          <w:highlight w:val="none"/>
          <w:lang w:val="en-US"/>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10268600</w:t>
      </w:r>
    </w:p>
    <w:p w14:paraId="4791C42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采购包最高限价（元）：</w:t>
      </w:r>
    </w:p>
    <w:p w14:paraId="2D68202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0009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B4FB1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7F63849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0B101A1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26DAB3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1ED16C5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18245CE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46865D5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3DA0A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02B9D5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4B71769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东溪上峰水闸重建工程</w:t>
            </w:r>
          </w:p>
        </w:tc>
        <w:tc>
          <w:tcPr>
            <w:tcW w:w="1187" w:type="dxa"/>
            <w:vAlign w:val="center"/>
          </w:tcPr>
          <w:p w14:paraId="4C3AA72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w:t>
            </w:r>
          </w:p>
        </w:tc>
        <w:tc>
          <w:tcPr>
            <w:tcW w:w="1776" w:type="dxa"/>
            <w:vAlign w:val="center"/>
          </w:tcPr>
          <w:p w14:paraId="3A21D12E">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10268600</w:t>
            </w:r>
          </w:p>
        </w:tc>
        <w:tc>
          <w:tcPr>
            <w:tcW w:w="1187" w:type="dxa"/>
            <w:vAlign w:val="center"/>
          </w:tcPr>
          <w:p w14:paraId="78E0D056">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批</w:t>
            </w:r>
          </w:p>
        </w:tc>
        <w:tc>
          <w:tcPr>
            <w:tcW w:w="1187" w:type="dxa"/>
            <w:vAlign w:val="center"/>
          </w:tcPr>
          <w:p w14:paraId="7866DECA">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工业</w:t>
            </w:r>
          </w:p>
        </w:tc>
        <w:tc>
          <w:tcPr>
            <w:tcW w:w="1187" w:type="dxa"/>
            <w:vAlign w:val="center"/>
          </w:tcPr>
          <w:p w14:paraId="1E6BEC8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5077ECAA">
      <w:pPr>
        <w:pStyle w:val="54"/>
        <w:widowControl w:val="0"/>
        <w:rPr>
          <w:rFonts w:hint="default"/>
          <w:color w:val="auto"/>
          <w:highlight w:val="none"/>
        </w:rPr>
      </w:pPr>
    </w:p>
    <w:p w14:paraId="5E63B9FC">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w:t>
      </w:r>
    </w:p>
    <w:p w14:paraId="766A5DBD">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5A7D7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BD51007">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3046" w:type="dxa"/>
            <w:vAlign w:val="center"/>
          </w:tcPr>
          <w:p w14:paraId="2119337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报价内容</w:t>
            </w:r>
          </w:p>
        </w:tc>
        <w:tc>
          <w:tcPr>
            <w:tcW w:w="737" w:type="dxa"/>
            <w:vAlign w:val="center"/>
          </w:tcPr>
          <w:p w14:paraId="3744111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642797E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737" w:type="dxa"/>
            <w:vAlign w:val="center"/>
          </w:tcPr>
          <w:p w14:paraId="2490DE46">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C33B042">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1384" w:type="dxa"/>
            <w:vAlign w:val="center"/>
          </w:tcPr>
          <w:p w14:paraId="0A336808">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最高限价</w:t>
            </w:r>
          </w:p>
        </w:tc>
        <w:tc>
          <w:tcPr>
            <w:tcW w:w="1384" w:type="dxa"/>
            <w:vAlign w:val="center"/>
          </w:tcPr>
          <w:p w14:paraId="39A7235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价款形式</w:t>
            </w:r>
          </w:p>
        </w:tc>
        <w:tc>
          <w:tcPr>
            <w:tcW w:w="1038" w:type="dxa"/>
            <w:vAlign w:val="center"/>
          </w:tcPr>
          <w:p w14:paraId="4D855C30">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14A561E5">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093A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469E6E6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3046" w:type="dxa"/>
            <w:vAlign w:val="center"/>
          </w:tcPr>
          <w:p w14:paraId="0F08A2D4">
            <w:pPr>
              <w:spacing w:line="360" w:lineRule="auto"/>
              <w:jc w:val="center"/>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color w:val="auto"/>
                <w:kern w:val="0"/>
                <w:sz w:val="24"/>
                <w:szCs w:val="24"/>
                <w:highlight w:val="none"/>
                <w:lang w:eastAsia="zh-CN"/>
              </w:rPr>
              <w:t>东溪上峰水闸重建工程</w:t>
            </w:r>
          </w:p>
        </w:tc>
        <w:tc>
          <w:tcPr>
            <w:tcW w:w="737" w:type="dxa"/>
            <w:vAlign w:val="center"/>
          </w:tcPr>
          <w:p w14:paraId="5B29FFCB">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737" w:type="dxa"/>
            <w:vAlign w:val="center"/>
          </w:tcPr>
          <w:p w14:paraId="5D610D3A">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元</w:t>
            </w:r>
          </w:p>
        </w:tc>
        <w:tc>
          <w:tcPr>
            <w:tcW w:w="1384" w:type="dxa"/>
            <w:vAlign w:val="center"/>
          </w:tcPr>
          <w:p w14:paraId="066F6A3A">
            <w:pPr>
              <w:spacing w:line="360" w:lineRule="auto"/>
              <w:jc w:val="center"/>
              <w:rPr>
                <w:rFonts w:asciiTheme="minorEastAsia" w:hAnsiTheme="minorEastAsia"/>
                <w:color w:val="auto"/>
                <w:kern w:val="0"/>
                <w:sz w:val="24"/>
                <w:szCs w:val="24"/>
                <w:highlight w:val="none"/>
              </w:rPr>
            </w:pPr>
          </w:p>
        </w:tc>
        <w:tc>
          <w:tcPr>
            <w:tcW w:w="1384" w:type="dxa"/>
            <w:vAlign w:val="center"/>
          </w:tcPr>
          <w:p w14:paraId="7C6F97C3">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1038" w:type="dxa"/>
            <w:vAlign w:val="center"/>
          </w:tcPr>
          <w:p w14:paraId="2437FC85">
            <w:pPr>
              <w:spacing w:line="360" w:lineRule="auto"/>
              <w:jc w:val="center"/>
              <w:rPr>
                <w:rFonts w:hint="default"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具体详见招标文件第五章报价要求。</w:t>
            </w:r>
          </w:p>
        </w:tc>
      </w:tr>
    </w:tbl>
    <w:p w14:paraId="4696802E">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99"/>
        <w:gridCol w:w="1343"/>
        <w:gridCol w:w="909"/>
        <w:gridCol w:w="909"/>
        <w:gridCol w:w="1176"/>
        <w:gridCol w:w="909"/>
        <w:gridCol w:w="910"/>
      </w:tblGrid>
      <w:tr w14:paraId="02A74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0845C20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2304" w:type="dxa"/>
            <w:vAlign w:val="center"/>
          </w:tcPr>
          <w:p w14:paraId="48995D7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报价明细内容</w:t>
            </w:r>
          </w:p>
        </w:tc>
        <w:tc>
          <w:tcPr>
            <w:tcW w:w="1345" w:type="dxa"/>
            <w:vAlign w:val="center"/>
          </w:tcPr>
          <w:p w14:paraId="7BEDE40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9DFD96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要求</w:t>
            </w:r>
          </w:p>
        </w:tc>
        <w:tc>
          <w:tcPr>
            <w:tcW w:w="910" w:type="dxa"/>
            <w:vAlign w:val="center"/>
          </w:tcPr>
          <w:p w14:paraId="50D7AC7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10EF1C7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27B40DAA">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82DDE3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686DE0A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w:t>
            </w:r>
          </w:p>
          <w:p w14:paraId="3AD7B25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限价</w:t>
            </w:r>
          </w:p>
        </w:tc>
        <w:tc>
          <w:tcPr>
            <w:tcW w:w="910" w:type="dxa"/>
            <w:vAlign w:val="center"/>
          </w:tcPr>
          <w:p w14:paraId="1B12AA2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w:t>
            </w:r>
          </w:p>
          <w:p w14:paraId="44E35FF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形式</w:t>
            </w:r>
          </w:p>
        </w:tc>
        <w:tc>
          <w:tcPr>
            <w:tcW w:w="911" w:type="dxa"/>
            <w:vAlign w:val="center"/>
          </w:tcPr>
          <w:p w14:paraId="4569176C">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E51ABB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5251C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38FCDA7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2304" w:type="dxa"/>
            <w:vAlign w:val="center"/>
          </w:tcPr>
          <w:p w14:paraId="6734C130">
            <w:pPr>
              <w:spacing w:line="360" w:lineRule="auto"/>
              <w:jc w:val="center"/>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color w:val="auto"/>
                <w:kern w:val="0"/>
                <w:sz w:val="24"/>
                <w:szCs w:val="24"/>
                <w:highlight w:val="none"/>
                <w:lang w:eastAsia="zh-CN"/>
              </w:rPr>
              <w:t>东溪上峰水闸重建工程</w:t>
            </w:r>
          </w:p>
        </w:tc>
        <w:tc>
          <w:tcPr>
            <w:tcW w:w="1345" w:type="dxa"/>
            <w:vAlign w:val="center"/>
          </w:tcPr>
          <w:p w14:paraId="561EAFCE">
            <w:pPr>
              <w:spacing w:line="360" w:lineRule="auto"/>
              <w:jc w:val="center"/>
              <w:rPr>
                <w:rFonts w:asciiTheme="minorEastAsia" w:hAnsiTheme="minorEastAsia"/>
                <w:color w:val="auto"/>
                <w:kern w:val="0"/>
                <w:sz w:val="24"/>
                <w:szCs w:val="24"/>
                <w:highlight w:val="none"/>
              </w:rPr>
            </w:pPr>
          </w:p>
        </w:tc>
        <w:tc>
          <w:tcPr>
            <w:tcW w:w="910" w:type="dxa"/>
            <w:vAlign w:val="center"/>
          </w:tcPr>
          <w:p w14:paraId="1536B770">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910" w:type="dxa"/>
            <w:vAlign w:val="center"/>
          </w:tcPr>
          <w:p w14:paraId="11EE4E19">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元</w:t>
            </w:r>
          </w:p>
        </w:tc>
        <w:tc>
          <w:tcPr>
            <w:tcW w:w="910" w:type="dxa"/>
            <w:vAlign w:val="center"/>
          </w:tcPr>
          <w:p w14:paraId="5D2ECFC1">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sz w:val="24"/>
                <w:szCs w:val="24"/>
                <w:highlight w:val="none"/>
                <w:lang w:val="en-US" w:eastAsia="zh-CN"/>
              </w:rPr>
              <w:t>10268600</w:t>
            </w:r>
          </w:p>
        </w:tc>
        <w:tc>
          <w:tcPr>
            <w:tcW w:w="910" w:type="dxa"/>
            <w:vAlign w:val="center"/>
          </w:tcPr>
          <w:p w14:paraId="53BC918D">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911" w:type="dxa"/>
            <w:vAlign w:val="center"/>
          </w:tcPr>
          <w:p w14:paraId="227672FC">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具体详见招标文件第五章报价要求。</w:t>
            </w:r>
          </w:p>
        </w:tc>
      </w:tr>
    </w:tbl>
    <w:p w14:paraId="006696D0">
      <w:pPr>
        <w:pStyle w:val="54"/>
        <w:widowControl w:val="0"/>
        <w:rPr>
          <w:rFonts w:hint="default"/>
          <w:color w:val="auto"/>
          <w:highlight w:val="none"/>
        </w:rPr>
      </w:pPr>
    </w:p>
    <w:p w14:paraId="397CE439">
      <w:pPr>
        <w:pStyle w:val="54"/>
        <w:widowControl w:val="0"/>
        <w:rPr>
          <w:rFonts w:hint="default"/>
          <w:color w:val="auto"/>
          <w:highlight w:val="none"/>
        </w:rPr>
      </w:pPr>
    </w:p>
    <w:p w14:paraId="24EB3A0F">
      <w:pPr>
        <w:pStyle w:val="54"/>
        <w:widowControl w:val="0"/>
        <w:rPr>
          <w:rFonts w:hint="default"/>
          <w:color w:val="auto"/>
          <w:highlight w:val="none"/>
        </w:rPr>
      </w:pPr>
    </w:p>
    <w:p w14:paraId="4105EA1B">
      <w:pPr>
        <w:pStyle w:val="54"/>
        <w:widowControl w:val="0"/>
        <w:rPr>
          <w:rFonts w:hint="default"/>
          <w:color w:val="auto"/>
          <w:highlight w:val="none"/>
        </w:rPr>
      </w:pPr>
    </w:p>
    <w:p w14:paraId="558010F4">
      <w:pPr>
        <w:pStyle w:val="54"/>
        <w:widowControl w:val="0"/>
        <w:rPr>
          <w:rFonts w:hint="default"/>
          <w:color w:val="auto"/>
          <w:highlight w:val="none"/>
        </w:rPr>
      </w:pPr>
    </w:p>
    <w:p w14:paraId="388A48B2">
      <w:pPr>
        <w:pStyle w:val="54"/>
        <w:widowControl w:val="0"/>
        <w:rPr>
          <w:rFonts w:hint="default"/>
          <w:color w:val="auto"/>
          <w:highlight w:val="none"/>
        </w:rPr>
        <w:sectPr>
          <w:pgSz w:w="11906" w:h="16838"/>
          <w:pgMar w:top="1418" w:right="1418" w:bottom="1418" w:left="1418" w:header="851" w:footer="992" w:gutter="0"/>
          <w:cols w:space="425" w:num="1"/>
          <w:docGrid w:type="lines" w:linePitch="312" w:charSpace="0"/>
        </w:sectPr>
      </w:pPr>
    </w:p>
    <w:p w14:paraId="564D08CF">
      <w:pPr>
        <w:pStyle w:val="54"/>
        <w:widowControl w:val="0"/>
        <w:rPr>
          <w:rFonts w:hint="default"/>
          <w:color w:val="auto"/>
          <w:highlight w:val="none"/>
        </w:rPr>
        <w:sectPr>
          <w:type w:val="continuous"/>
          <w:pgSz w:w="11906" w:h="16838"/>
          <w:pgMar w:top="1418" w:right="1418" w:bottom="1418" w:left="1418" w:header="851" w:footer="992" w:gutter="0"/>
          <w:cols w:space="425" w:num="1"/>
          <w:docGrid w:type="lines" w:linePitch="312" w:charSpace="0"/>
        </w:sectPr>
      </w:pPr>
    </w:p>
    <w:p w14:paraId="4ACEEA8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 w:name="_Toc139103805"/>
      <w:r>
        <w:rPr>
          <w:rFonts w:ascii="黑体" w:hAnsi="黑体" w:eastAsia="黑体" w:cs="Times New Roman"/>
          <w:color w:val="auto"/>
          <w:kern w:val="0"/>
          <w:sz w:val="32"/>
          <w:szCs w:val="44"/>
          <w:highlight w:val="none"/>
        </w:rPr>
        <w:t>第二章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投标人须知前附表</w:t>
      </w:r>
      <w:bookmarkEnd w:id="1"/>
    </w:p>
    <w:p w14:paraId="2E97B284">
      <w:pPr>
        <w:pStyle w:val="3"/>
        <w:spacing w:beforeLines="100" w:afterLines="100" w:line="240" w:lineRule="auto"/>
        <w:jc w:val="center"/>
        <w:rPr>
          <w:rFonts w:ascii="黑体" w:hAnsi="黑体" w:eastAsia="黑体" w:cs="Times New Roman"/>
          <w:color w:val="auto"/>
          <w:kern w:val="0"/>
          <w:sz w:val="30"/>
          <w:highlight w:val="none"/>
        </w:rPr>
      </w:pPr>
      <w:bookmarkStart w:id="2" w:name="_Toc139103806"/>
      <w:r>
        <w:rPr>
          <w:rFonts w:ascii="黑体" w:hAnsi="黑体" w:eastAsia="黑体" w:cs="Times New Roman"/>
          <w:color w:val="auto"/>
          <w:kern w:val="0"/>
          <w:sz w:val="30"/>
          <w:highlight w:val="none"/>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5BC6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4F7DBAD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特别提示：本表与招标文件对应章节的内容若不一致，以本表为准。</w:t>
            </w:r>
          </w:p>
        </w:tc>
      </w:tr>
      <w:tr w14:paraId="78C03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C0B8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418" w:type="dxa"/>
            <w:vAlign w:val="center"/>
          </w:tcPr>
          <w:p w14:paraId="1EC5750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w:t>
            </w:r>
          </w:p>
          <w:p w14:paraId="66E03E7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（第三章）</w:t>
            </w:r>
          </w:p>
        </w:tc>
        <w:tc>
          <w:tcPr>
            <w:tcW w:w="7189" w:type="dxa"/>
            <w:vAlign w:val="center"/>
          </w:tcPr>
          <w:p w14:paraId="0ECB915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FA47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241522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418" w:type="dxa"/>
            <w:vAlign w:val="center"/>
          </w:tcPr>
          <w:p w14:paraId="18E4CAD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w:t>
            </w:r>
          </w:p>
        </w:tc>
        <w:tc>
          <w:tcPr>
            <w:tcW w:w="7189" w:type="dxa"/>
            <w:vAlign w:val="center"/>
          </w:tcPr>
          <w:p w14:paraId="681C398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是否组织现场考察或召开开标前答疑会：</w:t>
            </w:r>
          </w:p>
          <w:p w14:paraId="13E31FE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采购包1：不组织</w:t>
            </w:r>
          </w:p>
        </w:tc>
      </w:tr>
      <w:tr w14:paraId="39377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3B53E6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1418" w:type="dxa"/>
            <w:vAlign w:val="center"/>
          </w:tcPr>
          <w:p w14:paraId="7631BA5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w:t>
            </w:r>
          </w:p>
        </w:tc>
        <w:tc>
          <w:tcPr>
            <w:tcW w:w="7189" w:type="dxa"/>
            <w:vAlign w:val="center"/>
          </w:tcPr>
          <w:p w14:paraId="5AB99BB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投标文件的份数：</w:t>
            </w:r>
          </w:p>
          <w:p w14:paraId="1A90ABA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（1）可读介质（光盘或U盘）0份：投标人应将其上传至福建省政府采购网上公开信息系统的电子投标文件在该可读介质中另存0份。</w:t>
            </w:r>
          </w:p>
          <w:p w14:paraId="381E15A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（2）电子投标文件：详见投标人须知前附表2《关于电子招标投标活动的专门规定》。</w:t>
            </w:r>
          </w:p>
        </w:tc>
      </w:tr>
      <w:tr w14:paraId="105C4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5DCC03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1418" w:type="dxa"/>
            <w:vAlign w:val="center"/>
          </w:tcPr>
          <w:p w14:paraId="02B910D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10.7-（1）</w:t>
            </w:r>
          </w:p>
        </w:tc>
        <w:tc>
          <w:tcPr>
            <w:tcW w:w="7189" w:type="dxa"/>
            <w:vAlign w:val="center"/>
          </w:tcPr>
          <w:p w14:paraId="341B911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是否允许中标人将本项目的非主体、非关键性工作进行分包：</w:t>
            </w:r>
          </w:p>
          <w:p w14:paraId="47A83E5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采购包1：分包比例40%，分包履行的内容： </w:t>
            </w:r>
          </w:p>
          <w:p w14:paraId="74C185E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（1）本项目预留份额给中小企业的含义是：根据《政府采购促进中小企业发展管理办法》的规定，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所投货物中，由中小企业制造的产品金额不低于报价总额的40%，其中小微企业制造的产品金额不低于报价总额的24%。如有疑问请联系代理机构咨询。（2）本项目</w:t>
            </w:r>
            <w:r>
              <w:rPr>
                <w:rFonts w:hint="eastAsia" w:asciiTheme="minorEastAsia" w:hAnsiTheme="minorEastAsia"/>
                <w:color w:val="auto"/>
                <w:sz w:val="24"/>
                <w:szCs w:val="24"/>
                <w:highlight w:val="none"/>
                <w:lang w:val="en-US" w:eastAsia="zh-CN"/>
              </w:rPr>
              <w:t>中的土建部分允许投标人分包给具有</w:t>
            </w:r>
            <w:r>
              <w:rPr>
                <w:rFonts w:hint="eastAsia" w:ascii="宋体" w:hAnsi="宋体" w:cs="宋体"/>
                <w:color w:val="auto"/>
                <w:kern w:val="0"/>
                <w:sz w:val="24"/>
                <w:szCs w:val="20"/>
                <w:highlight w:val="none"/>
              </w:rPr>
              <w:t>水利水电工程施工总承包三级（含）以上资质</w:t>
            </w:r>
            <w:r>
              <w:rPr>
                <w:rFonts w:hint="eastAsia" w:asciiTheme="minorEastAsia" w:hAnsiTheme="minorEastAsia"/>
                <w:color w:val="auto"/>
                <w:sz w:val="24"/>
                <w:szCs w:val="24"/>
                <w:highlight w:val="none"/>
                <w:lang w:val="en-US" w:eastAsia="zh-CN"/>
              </w:rPr>
              <w:t>的单位实施，若投标人不分包的，则投标人须同时具有</w:t>
            </w:r>
            <w:r>
              <w:rPr>
                <w:rFonts w:hint="eastAsia" w:ascii="宋体" w:hAnsi="宋体" w:cs="宋体"/>
                <w:color w:val="auto"/>
                <w:kern w:val="0"/>
                <w:sz w:val="24"/>
                <w:szCs w:val="20"/>
                <w:highlight w:val="none"/>
              </w:rPr>
              <w:t>水利水电工程施工总承包三级（含）以上资质</w:t>
            </w:r>
            <w:r>
              <w:rPr>
                <w:rFonts w:asciiTheme="minorEastAsia" w:hAnsiTheme="minorEastAsia"/>
                <w:color w:val="auto"/>
                <w:sz w:val="24"/>
                <w:szCs w:val="24"/>
                <w:highlight w:val="none"/>
              </w:rPr>
              <w:t>。</w:t>
            </w:r>
          </w:p>
        </w:tc>
      </w:tr>
      <w:tr w14:paraId="297F8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C94674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1418" w:type="dxa"/>
            <w:vAlign w:val="center"/>
          </w:tcPr>
          <w:p w14:paraId="043BCFD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10.8-（1）</w:t>
            </w:r>
          </w:p>
        </w:tc>
        <w:tc>
          <w:tcPr>
            <w:tcW w:w="7189" w:type="dxa"/>
            <w:vAlign w:val="center"/>
          </w:tcPr>
          <w:p w14:paraId="25634B0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投标有效期：投标截止时间起90个日历日。</w:t>
            </w:r>
          </w:p>
        </w:tc>
      </w:tr>
      <w:tr w14:paraId="0F6CD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4CFDC1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1418" w:type="dxa"/>
            <w:vAlign w:val="center"/>
          </w:tcPr>
          <w:p w14:paraId="7A9961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w:t>
            </w:r>
          </w:p>
        </w:tc>
        <w:tc>
          <w:tcPr>
            <w:tcW w:w="7189" w:type="dxa"/>
            <w:vAlign w:val="center"/>
          </w:tcPr>
          <w:p w14:paraId="29EC6D6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确定中标候选人名单：</w:t>
            </w:r>
          </w:p>
          <w:p w14:paraId="061DAA1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采购包1：3名</w:t>
            </w:r>
          </w:p>
        </w:tc>
      </w:tr>
      <w:tr w14:paraId="5308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4B4EA3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1418" w:type="dxa"/>
            <w:vAlign w:val="center"/>
          </w:tcPr>
          <w:p w14:paraId="1384749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w:t>
            </w:r>
          </w:p>
        </w:tc>
        <w:tc>
          <w:tcPr>
            <w:tcW w:w="7189" w:type="dxa"/>
            <w:vAlign w:val="center"/>
          </w:tcPr>
          <w:p w14:paraId="16F1789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本项目中标人的确定（以采购包为单位）：</w:t>
            </w:r>
          </w:p>
          <w:p w14:paraId="5C23E01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（1）采购人应在政府采购招投标管理办法规定的时限内确定中标人。</w:t>
            </w:r>
          </w:p>
          <w:p w14:paraId="3ADC0D7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（2）若出现中标候选人并列情形，则按照下列方式确定中标人：</w:t>
            </w:r>
          </w:p>
          <w:p w14:paraId="0952D26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①招标文件规定的方式：</w:t>
            </w:r>
          </w:p>
          <w:p w14:paraId="6659072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确定技术项总得分较高的中标候选人为中标人。若技术项总得分相同的，则采取随机抽取的方式确定。</w:t>
            </w:r>
          </w:p>
          <w:p w14:paraId="4858095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②若本款第①点规定方式为“无”，则按照下列方式确定：</w:t>
            </w:r>
          </w:p>
          <w:p w14:paraId="321B863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D57549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③若本款第①、②点规定方式均为“无”，则按照下列方式确定：随机抽取。</w:t>
            </w:r>
          </w:p>
          <w:p w14:paraId="1CE6A93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（3）本项目确定的中标人家数：</w:t>
            </w:r>
          </w:p>
          <w:p w14:paraId="3B80BA4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采购包1：1名</w:t>
            </w:r>
          </w:p>
        </w:tc>
      </w:tr>
      <w:tr w14:paraId="18E5E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5C63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1418" w:type="dxa"/>
            <w:vAlign w:val="center"/>
          </w:tcPr>
          <w:p w14:paraId="0F6C573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w:t>
            </w:r>
          </w:p>
        </w:tc>
        <w:tc>
          <w:tcPr>
            <w:tcW w:w="7189" w:type="dxa"/>
            <w:vAlign w:val="center"/>
          </w:tcPr>
          <w:p w14:paraId="159D0A2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合同签订时限：自中标通知书发出之日起20个日历日内。</w:t>
            </w:r>
          </w:p>
        </w:tc>
      </w:tr>
      <w:tr w14:paraId="66A5D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697C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1418" w:type="dxa"/>
            <w:vAlign w:val="center"/>
          </w:tcPr>
          <w:p w14:paraId="4ADEF94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15.1-（2）</w:t>
            </w:r>
          </w:p>
        </w:tc>
        <w:tc>
          <w:tcPr>
            <w:tcW w:w="7189" w:type="dxa"/>
            <w:vAlign w:val="center"/>
          </w:tcPr>
          <w:p w14:paraId="4C9A9C9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质疑函原件应采用下列方式提交：书面形式。</w:t>
            </w:r>
          </w:p>
        </w:tc>
      </w:tr>
      <w:tr w14:paraId="6EE7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1E8EA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1418" w:type="dxa"/>
            <w:vAlign w:val="center"/>
          </w:tcPr>
          <w:p w14:paraId="22A5E02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w:t>
            </w:r>
          </w:p>
        </w:tc>
        <w:tc>
          <w:tcPr>
            <w:tcW w:w="7189" w:type="dxa"/>
            <w:vAlign w:val="center"/>
          </w:tcPr>
          <w:p w14:paraId="6052560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招标文件的质疑</w:t>
            </w:r>
          </w:p>
          <w:p w14:paraId="5517E0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（1）潜在投标人可在质疑时效期间内对招标文件以书面形式提出质疑。</w:t>
            </w:r>
          </w:p>
          <w:p w14:paraId="3C5A051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（2）质疑时效期间：应在依法获取招标文件之日起7个工作日内向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提出，依法获取招标文件的时间以福建省政府采购网上公开信息系统记载的为准。</w:t>
            </w:r>
          </w:p>
          <w:p w14:paraId="7A4E6E1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※除上述规定外，对招标文件提出的质疑还应符合招标文件第三章第15.1条的有关规定。</w:t>
            </w:r>
          </w:p>
        </w:tc>
      </w:tr>
      <w:tr w14:paraId="515C1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FA69A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1418" w:type="dxa"/>
            <w:vAlign w:val="center"/>
          </w:tcPr>
          <w:p w14:paraId="16F72B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w:t>
            </w:r>
          </w:p>
        </w:tc>
        <w:tc>
          <w:tcPr>
            <w:tcW w:w="7189" w:type="dxa"/>
            <w:vAlign w:val="center"/>
          </w:tcPr>
          <w:p w14:paraId="00DC93D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监督管理部门：厦门市</w:t>
            </w:r>
            <w:r>
              <w:rPr>
                <w:rFonts w:hint="eastAsia" w:asciiTheme="minorEastAsia" w:hAnsiTheme="minorEastAsia"/>
                <w:color w:val="auto"/>
                <w:sz w:val="24"/>
                <w:szCs w:val="24"/>
                <w:highlight w:val="none"/>
                <w:lang w:val="en-US" w:eastAsia="zh-CN"/>
              </w:rPr>
              <w:t>同安区</w:t>
            </w:r>
            <w:r>
              <w:rPr>
                <w:rFonts w:asciiTheme="minorEastAsia" w:hAnsiTheme="minorEastAsia"/>
                <w:color w:val="auto"/>
                <w:sz w:val="24"/>
                <w:szCs w:val="24"/>
                <w:highlight w:val="none"/>
              </w:rPr>
              <w:t>财政局（仅限依法进行政府采购的货物或服务类项目）。</w:t>
            </w:r>
          </w:p>
        </w:tc>
      </w:tr>
      <w:tr w14:paraId="005E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6C4B9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w:t>
            </w:r>
          </w:p>
        </w:tc>
        <w:tc>
          <w:tcPr>
            <w:tcW w:w="1418" w:type="dxa"/>
            <w:vAlign w:val="center"/>
          </w:tcPr>
          <w:p w14:paraId="331AAB13">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w:t>
            </w:r>
          </w:p>
        </w:tc>
        <w:tc>
          <w:tcPr>
            <w:tcW w:w="7189" w:type="dxa"/>
            <w:vAlign w:val="center"/>
          </w:tcPr>
          <w:p w14:paraId="26F9538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财政部和福建省财政厅指定的政府采购信息发布媒体（以下简称：“指定媒体”）：</w:t>
            </w:r>
          </w:p>
          <w:p w14:paraId="066853B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（1）中国政府采购网，网址www.ccgp.gov.cn。</w:t>
            </w:r>
          </w:p>
          <w:p w14:paraId="59285C6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（2）中国政府采购网福建分网（福建省政府采购网），网址zfcg.czt.fujian.gov.cn。</w:t>
            </w:r>
          </w:p>
          <w:p w14:paraId="466AC28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※若出现上述指定媒体信息不一致情形，应以中国政府采购网福建分网（福建省政府采购网）发布的为准。</w:t>
            </w:r>
          </w:p>
        </w:tc>
      </w:tr>
      <w:tr w14:paraId="2F036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FF22FC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w:t>
            </w:r>
          </w:p>
        </w:tc>
        <w:tc>
          <w:tcPr>
            <w:tcW w:w="1418" w:type="dxa"/>
            <w:vAlign w:val="center"/>
          </w:tcPr>
          <w:p w14:paraId="360755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w:t>
            </w:r>
          </w:p>
        </w:tc>
        <w:tc>
          <w:tcPr>
            <w:tcW w:w="7189" w:type="dxa"/>
            <w:vAlign w:val="center"/>
          </w:tcPr>
          <w:p w14:paraId="1A9C0D5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其他事项：</w:t>
            </w:r>
          </w:p>
          <w:p w14:paraId="665AFB9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（1）本项目代理服务费：</w:t>
            </w:r>
          </w:p>
          <w:p w14:paraId="7BDE51F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本项目收取代理服务费</w:t>
            </w:r>
          </w:p>
          <w:p w14:paraId="21C4E9A8">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代理服务费用收取对象：中标/</w:t>
            </w:r>
            <w:r>
              <w:rPr>
                <w:rFonts w:hint="eastAsia" w:asciiTheme="minorEastAsia" w:hAnsiTheme="minorEastAsia"/>
                <w:color w:val="auto"/>
                <w:sz w:val="24"/>
                <w:szCs w:val="24"/>
                <w:highlight w:val="none"/>
                <w:lang w:eastAsia="zh-CN"/>
              </w:rPr>
              <w:t>中标人</w:t>
            </w:r>
          </w:p>
          <w:p w14:paraId="1A97A98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代理服务费收费标准：（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经评标委员会认定</w:t>
            </w:r>
            <w:r>
              <w:rPr>
                <w:rFonts w:hint="eastAsia" w:asciiTheme="minorEastAsia" w:hAnsiTheme="minorEastAsia"/>
                <w:color w:val="auto"/>
                <w:sz w:val="24"/>
                <w:szCs w:val="24"/>
                <w:highlight w:val="none"/>
                <w:lang w:eastAsia="zh-CN"/>
              </w:rPr>
              <w:t>中标人</w:t>
            </w:r>
            <w:r>
              <w:rPr>
                <w:rFonts w:asciiTheme="minorEastAsia" w:hAnsiTheme="minorEastAsia"/>
                <w:color w:val="auto"/>
                <w:sz w:val="24"/>
                <w:szCs w:val="24"/>
                <w:highlight w:val="none"/>
              </w:rPr>
              <w:t>为中小企业的，中标后可享受代理服务费下浮10%的优惠。（4）因</w:t>
            </w:r>
            <w:r>
              <w:rPr>
                <w:rFonts w:hint="eastAsia" w:asciiTheme="minorEastAsia" w:hAnsiTheme="minorEastAsia"/>
                <w:color w:val="auto"/>
                <w:sz w:val="24"/>
                <w:szCs w:val="24"/>
                <w:highlight w:val="none"/>
                <w:lang w:val="en-US" w:eastAsia="zh-CN"/>
              </w:rPr>
              <w:t>中标人</w:t>
            </w:r>
            <w:r>
              <w:rPr>
                <w:rFonts w:asciiTheme="minorEastAsia" w:hAnsiTheme="minorEastAsia"/>
                <w:color w:val="auto"/>
                <w:sz w:val="24"/>
                <w:szCs w:val="24"/>
                <w:highlight w:val="none"/>
              </w:rPr>
              <w:t>自身原因导致最终无法承接项目的，代理服务费不予退还。</w:t>
            </w:r>
          </w:p>
          <w:p w14:paraId="64A5B04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（2）其他：</w:t>
            </w:r>
          </w:p>
          <w:p w14:paraId="0B1FA75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本项目招标文件第五章增加补充条款，补充条款内容与招标文件其他地方内容不一致的，以补充条款内容为准。请投标人仔细阅读。</w:t>
            </w:r>
          </w:p>
        </w:tc>
      </w:tr>
      <w:tr w14:paraId="686F2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491403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89" w:type="dxa"/>
            <w:vAlign w:val="center"/>
          </w:tcPr>
          <w:p w14:paraId="3930464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后有投标人须知前附表2，请勿遗漏。</w:t>
            </w:r>
          </w:p>
        </w:tc>
      </w:tr>
    </w:tbl>
    <w:p w14:paraId="217EE6A6">
      <w:pPr>
        <w:pStyle w:val="3"/>
        <w:spacing w:beforeLines="100" w:afterLines="100" w:line="240" w:lineRule="auto"/>
        <w:jc w:val="center"/>
        <w:rPr>
          <w:rFonts w:ascii="黑体" w:hAnsi="黑体" w:eastAsia="黑体" w:cs="Times New Roman"/>
          <w:color w:val="auto"/>
          <w:kern w:val="0"/>
          <w:sz w:val="30"/>
          <w:highlight w:val="none"/>
        </w:rPr>
      </w:pPr>
      <w:bookmarkStart w:id="3" w:name="_Toc139103807"/>
      <w:r>
        <w:rPr>
          <w:rFonts w:ascii="黑体" w:hAnsi="黑体" w:eastAsia="黑体" w:cs="Times New Roman"/>
          <w:color w:val="auto"/>
          <w:kern w:val="0"/>
          <w:sz w:val="30"/>
          <w:highlight w:val="none"/>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27C6D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4322856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关于电子招标投标活动的专门规定</w:t>
            </w:r>
          </w:p>
        </w:tc>
      </w:tr>
      <w:tr w14:paraId="5040E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46EE4CA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8454" w:type="dxa"/>
            <w:vAlign w:val="center"/>
          </w:tcPr>
          <w:p w14:paraId="338436BD">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3E7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6115216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8454" w:type="dxa"/>
            <w:vAlign w:val="center"/>
          </w:tcPr>
          <w:p w14:paraId="7892B72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（1）电子招标投标活动的专门规定适用本项目电子招标投标活动。</w:t>
            </w:r>
          </w:p>
          <w:p w14:paraId="49E36AE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（2）将招标文件</w:t>
            </w:r>
          </w:p>
          <w:p w14:paraId="75749C1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无的内容修正为下列内容：</w:t>
            </w:r>
          </w:p>
          <w:p w14:paraId="7B21C8C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无后适用本项目的电子招标投标活动。</w:t>
            </w:r>
          </w:p>
          <w:p w14:paraId="42137CA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1E652E1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①电子招标投标活动的具体操作流程以福建省政府采购网上公开信息系统设定的为准。</w:t>
            </w:r>
          </w:p>
          <w:p w14:paraId="67F7AFE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②关于电子投标文件：</w:t>
            </w:r>
          </w:p>
          <w:p w14:paraId="3D2908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47ADD24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421D6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③关于证明材料或资料：</w:t>
            </w:r>
          </w:p>
          <w:p w14:paraId="5432F279">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C60D1A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1AE814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④关于“全称”、“投标人代表签字”及“加盖单位公章”：</w:t>
            </w:r>
          </w:p>
          <w:p w14:paraId="7366CD9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a.在电子投标文件中，涉及“全称”和“投标人代表签字”的内容可使用打字录入方式完成。</w:t>
            </w:r>
          </w:p>
          <w:p w14:paraId="54B7C1D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b.在电子投标文件中，涉及“加盖单位公章”的内容应使用投标人的CA证书完成，否则投标无效。</w:t>
            </w:r>
          </w:p>
          <w:p w14:paraId="62DB60F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c.在电子投标文件中，若投标人按照本增列内容第④点第b项规定加盖其单位公章，则出现无全称、或投标人代表未签字等情形，不视为投标无效。</w:t>
            </w:r>
          </w:p>
          <w:p w14:paraId="7B36253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⑤关于投标人的CA证书：</w:t>
            </w:r>
          </w:p>
          <w:p w14:paraId="349AB9B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a.投标人的CA证书应在系统规定时间内使用CA证书进行电子投标文件的解密操作，逾期未解密的视为放弃投标。</w:t>
            </w:r>
          </w:p>
          <w:p w14:paraId="0960166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b.投标人的CA证书可采用信封（包括但不限于：信封、档案袋、文件袋等）作为外包装进行单独包装。外包装密封、不密封皆可。</w:t>
            </w:r>
          </w:p>
          <w:p w14:paraId="0ED44CD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c.投标人的CA证书或外包装应标记“项目名称、项目编号、投标人的全称”等内容，以方便识别、使用。</w:t>
            </w:r>
          </w:p>
          <w:p w14:paraId="2E46B26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d.投标人的CA证书应能正常、有效使用，否则产生不利后果由投标人承担责任。</w:t>
            </w:r>
          </w:p>
          <w:p w14:paraId="756EEA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⑥关于投标截止时间过后</w:t>
            </w:r>
          </w:p>
          <w:p w14:paraId="6F7745A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a.未按招标文件规定提交投标保证金的，其投标将按无效投标处理。</w:t>
            </w:r>
          </w:p>
          <w:p w14:paraId="15854208">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b.有下列情形之一的，其投标无效，其保证金不予退还或通过投标保函进行索赔：</w:t>
            </w:r>
          </w:p>
          <w:p w14:paraId="44A9822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b1不同投标人的电子投标文件具有相同内部识别码；</w:t>
            </w:r>
          </w:p>
          <w:p w14:paraId="5DFB9BC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b2不同投标人的投标保证金从同一单位或个人的账户转出；</w:t>
            </w:r>
          </w:p>
          <w:p w14:paraId="4FE91B8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b3投标人的投标保证金同一采购包下有其他投标人提交的投标保证金；</w:t>
            </w:r>
          </w:p>
          <w:p w14:paraId="19342F7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b4不同投标人存在串通投标的其他情形。</w:t>
            </w:r>
          </w:p>
          <w:p w14:paraId="7F88E78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AA8A6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⑧其他：根据《福建省财政厅关于废止部分行政规范性文件的通知》（闽财规〔2023〕29号）规定，取消投标文件资格及资信证明部分、技术商务部分中不得出现报价内容的要求。</w:t>
            </w:r>
          </w:p>
        </w:tc>
      </w:tr>
    </w:tbl>
    <w:p w14:paraId="33B7FFBC">
      <w:pPr>
        <w:rPr>
          <w:color w:val="auto"/>
          <w:highlight w:val="none"/>
        </w:rPr>
      </w:pPr>
    </w:p>
    <w:p w14:paraId="6580CA02">
      <w:pPr>
        <w:rPr>
          <w:color w:val="auto"/>
          <w:highlight w:val="none"/>
        </w:rPr>
        <w:sectPr>
          <w:pgSz w:w="11906" w:h="16838"/>
          <w:pgMar w:top="1418" w:right="1418" w:bottom="1418" w:left="1418" w:header="851" w:footer="992" w:gutter="0"/>
          <w:cols w:space="425" w:num="1"/>
          <w:docGrid w:type="lines" w:linePitch="312" w:charSpace="0"/>
        </w:sectPr>
      </w:pPr>
    </w:p>
    <w:p w14:paraId="082FA5D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4" w:name="_Toc139103808"/>
      <w:r>
        <w:rPr>
          <w:rFonts w:ascii="黑体" w:hAnsi="黑体" w:eastAsia="黑体" w:cs="Times New Roman"/>
          <w:color w:val="auto"/>
          <w:kern w:val="0"/>
          <w:sz w:val="32"/>
          <w:szCs w:val="44"/>
          <w:highlight w:val="none"/>
        </w:rPr>
        <w:t>第三章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w:t>
      </w:r>
      <w:bookmarkEnd w:id="4"/>
    </w:p>
    <w:p w14:paraId="668B7D27">
      <w:pPr>
        <w:pStyle w:val="3"/>
        <w:spacing w:beforeLines="100" w:afterLines="100" w:line="240" w:lineRule="auto"/>
        <w:jc w:val="center"/>
        <w:rPr>
          <w:rFonts w:ascii="黑体" w:hAnsi="黑体" w:eastAsia="黑体" w:cs="Times New Roman"/>
          <w:color w:val="auto"/>
          <w:kern w:val="0"/>
          <w:sz w:val="30"/>
          <w:highlight w:val="none"/>
        </w:rPr>
      </w:pPr>
      <w:bookmarkStart w:id="5" w:name="_Toc139103809"/>
      <w:r>
        <w:rPr>
          <w:rFonts w:ascii="黑体" w:hAnsi="黑体" w:eastAsia="黑体" w:cs="Times New Roman"/>
          <w:color w:val="auto"/>
          <w:kern w:val="0"/>
          <w:sz w:val="30"/>
          <w:highlight w:val="none"/>
        </w:rPr>
        <w:t>一、总则</w:t>
      </w:r>
      <w:bookmarkEnd w:id="5"/>
    </w:p>
    <w:p w14:paraId="7C61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1、适用范围</w:t>
      </w:r>
    </w:p>
    <w:p w14:paraId="3B2572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1.1适用于招标文件载明项目的政府采购活动（以下简称：“本次采购活动”）。</w:t>
      </w:r>
    </w:p>
    <w:p w14:paraId="7E4217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2、定义</w:t>
      </w:r>
    </w:p>
    <w:p w14:paraId="4B14AB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2.1“采购标的”指招标文件载明的需要采购的货物或服务。</w:t>
      </w:r>
    </w:p>
    <w:p w14:paraId="3EC127D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2.2“潜在投标人”指按照招标文件第一章第7条规定获取招标文件且有意向参加本项目投标的供应商。</w:t>
      </w:r>
    </w:p>
    <w:p w14:paraId="066C386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2.3“投标人”指按照招标文件第一章第7条规定获取招标文件并参加本项目投标的供应商。</w:t>
      </w:r>
    </w:p>
    <w:p w14:paraId="48C8DCB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2.4“单位负责人”指单位法定代表人或法律、法规规定代表单位行使职权的主要负责人。</w:t>
      </w:r>
    </w:p>
    <w:p w14:paraId="4C0A7A7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2.5“投标人代表”指投标人的单位负责人或“单位负责人授权书”中载明的接受授权方。</w:t>
      </w:r>
    </w:p>
    <w:p w14:paraId="715B22F7">
      <w:pPr>
        <w:pStyle w:val="3"/>
        <w:spacing w:beforeLines="100" w:afterLines="100" w:line="240" w:lineRule="auto"/>
        <w:jc w:val="center"/>
        <w:rPr>
          <w:rFonts w:ascii="黑体" w:hAnsi="黑体" w:eastAsia="黑体" w:cs="Times New Roman"/>
          <w:color w:val="auto"/>
          <w:kern w:val="0"/>
          <w:sz w:val="30"/>
          <w:highlight w:val="none"/>
        </w:rPr>
      </w:pPr>
      <w:bookmarkStart w:id="6" w:name="_Toc139103810"/>
      <w:r>
        <w:rPr>
          <w:rFonts w:ascii="黑体" w:hAnsi="黑体" w:eastAsia="黑体" w:cs="Times New Roman"/>
          <w:color w:val="auto"/>
          <w:kern w:val="0"/>
          <w:sz w:val="30"/>
          <w:highlight w:val="none"/>
        </w:rPr>
        <w:t>二、投标人</w:t>
      </w:r>
      <w:bookmarkEnd w:id="6"/>
    </w:p>
    <w:p w14:paraId="62B0AB7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3、合格投标人</w:t>
      </w:r>
    </w:p>
    <w:p w14:paraId="4EDBE7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3.1一般规定</w:t>
      </w:r>
    </w:p>
    <w:p w14:paraId="52209CC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7EF8C0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7743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（2）投标人的资格要求：详见招标文件第一章。</w:t>
      </w:r>
    </w:p>
    <w:p w14:paraId="3B60C7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3.2若本项目接受联合体投标且投标人为联合体，则联合体各方应遵守本章第3.1条规定，同时还应遵守下列规定：</w:t>
      </w:r>
    </w:p>
    <w:p w14:paraId="528AA6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（1）联合体各方应提交联合体协议，联合体协议应符合招标文件规定。</w:t>
      </w:r>
    </w:p>
    <w:p w14:paraId="2EE189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（2）联合体各方不得再单独参加或与其他供应商另外组成联合体参加同一合同项下的投标。</w:t>
      </w:r>
    </w:p>
    <w:p w14:paraId="543ECE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（3）联合体各方应共同与采购人签订政府采购合同，就政府采购合同约定的事项对采购人承担连带责任。</w:t>
      </w:r>
    </w:p>
    <w:p w14:paraId="4B3AAB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A434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（5）联合体一方放弃中标的，视为联合体整体放弃中标，联合体各方承担连带责任。</w:t>
      </w:r>
    </w:p>
    <w:p w14:paraId="53A73A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（6）如本项目不接受联合体投标而投标人为联合体的，或者本项目接受联合体投标但投标人组成的联合体不符合本章第3.2条规定的，投标无效。</w:t>
      </w:r>
    </w:p>
    <w:p w14:paraId="38179A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4、投标费用</w:t>
      </w:r>
    </w:p>
    <w:p w14:paraId="75CDD6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4.1除招标文件另有规定外，投标人应自行承担其参加本项目投标所涉及的一切费用。</w:t>
      </w:r>
    </w:p>
    <w:p w14:paraId="681A448E">
      <w:pPr>
        <w:pStyle w:val="3"/>
        <w:spacing w:beforeLines="100" w:afterLines="100" w:line="240" w:lineRule="auto"/>
        <w:jc w:val="center"/>
        <w:rPr>
          <w:rFonts w:ascii="黑体" w:hAnsi="黑体" w:eastAsia="黑体" w:cs="Times New Roman"/>
          <w:color w:val="auto"/>
          <w:kern w:val="0"/>
          <w:sz w:val="30"/>
          <w:highlight w:val="none"/>
        </w:rPr>
      </w:pPr>
      <w:bookmarkStart w:id="7" w:name="_Toc139103811"/>
      <w:r>
        <w:rPr>
          <w:rFonts w:ascii="黑体" w:hAnsi="黑体" w:eastAsia="黑体" w:cs="Times New Roman"/>
          <w:color w:val="auto"/>
          <w:kern w:val="0"/>
          <w:sz w:val="30"/>
          <w:highlight w:val="none"/>
        </w:rPr>
        <w:t>三、招标</w:t>
      </w:r>
      <w:bookmarkEnd w:id="7"/>
    </w:p>
    <w:p w14:paraId="451B101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5、招标文件</w:t>
      </w:r>
    </w:p>
    <w:p w14:paraId="5530C5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5.1招标文件由下述部分组成：</w:t>
      </w:r>
    </w:p>
    <w:p w14:paraId="27F3E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（1）投标邀请</w:t>
      </w:r>
    </w:p>
    <w:p w14:paraId="14D41B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（2）投标人须知前附表（表1、2）</w:t>
      </w:r>
    </w:p>
    <w:p w14:paraId="7788075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（3）投标人须知</w:t>
      </w:r>
    </w:p>
    <w:p w14:paraId="031359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（4）资格审查与评标</w:t>
      </w:r>
    </w:p>
    <w:p w14:paraId="69FC55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（5）招标内容及要求</w:t>
      </w:r>
    </w:p>
    <w:p w14:paraId="52C915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（6）政府采购合同（参考文本）</w:t>
      </w:r>
    </w:p>
    <w:p w14:paraId="7BEB5D5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（7）电子投标文件格式</w:t>
      </w:r>
    </w:p>
    <w:p w14:paraId="14F4A4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（8）按照招标文件规定作为招标文件组成部分的其他内容（若有）</w:t>
      </w:r>
    </w:p>
    <w:p w14:paraId="03A125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5.2招标文件的澄清或修改</w:t>
      </w:r>
    </w:p>
    <w:p w14:paraId="7A5332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可对已发出的招标文件进行必要的澄清或修改，但不得对招标文件载明的采购标的和投标人的资格要求进行改变。</w:t>
      </w:r>
    </w:p>
    <w:p w14:paraId="0D90CB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（2）除本章第5.2条第（3）款规定情形外，澄清或修改的内容可能影响电子投标文件编制的，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将在投标截止时间至少15个日历日前，在招标文件载明的指定媒体以更正公告的形式发布澄清或修改的内容。不足15个日历日的，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将顺延投标截止时间及开标时间，</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和投标人受原投标截止时间及开标时间制约的所有权利和义务均延长至新的投标截止时间及开标时间。</w:t>
      </w:r>
    </w:p>
    <w:p w14:paraId="2E8D8F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（3）澄清或修改的内容可能改变招标文件载明的采购标的和投标人的资格要求的，本次采购活动结束，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044D6D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6、现场考察或开标前答疑会</w:t>
      </w:r>
    </w:p>
    <w:p w14:paraId="25CBE8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6.1是否组织现场考察或召开开标前答疑会：详见招标文件第二章。</w:t>
      </w:r>
    </w:p>
    <w:p w14:paraId="5D6EB0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7、更正公告</w:t>
      </w:r>
    </w:p>
    <w:p w14:paraId="0F79B2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7.1若</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7A0E07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7.2更正公告作为</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通知所有潜在投标人的书面形式。</w:t>
      </w:r>
    </w:p>
    <w:p w14:paraId="2C40D9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8、终止公告</w:t>
      </w:r>
    </w:p>
    <w:p w14:paraId="548649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8.1若出现因重大变故导致采购任务取消情形，</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可终止招标并发布终止公告。</w:t>
      </w:r>
    </w:p>
    <w:p w14:paraId="68E662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8.2终止公告作为</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通知所有潜在投标人的书面形式。</w:t>
      </w:r>
    </w:p>
    <w:p w14:paraId="477B634B">
      <w:pPr>
        <w:pStyle w:val="3"/>
        <w:spacing w:beforeLines="100" w:afterLines="100" w:line="240" w:lineRule="auto"/>
        <w:jc w:val="center"/>
        <w:rPr>
          <w:rFonts w:ascii="黑体" w:hAnsi="黑体" w:eastAsia="黑体" w:cs="Times New Roman"/>
          <w:color w:val="auto"/>
          <w:kern w:val="0"/>
          <w:sz w:val="30"/>
          <w:highlight w:val="none"/>
        </w:rPr>
      </w:pPr>
      <w:bookmarkStart w:id="8" w:name="_Toc139103812"/>
      <w:r>
        <w:rPr>
          <w:rFonts w:ascii="黑体" w:hAnsi="黑体" w:eastAsia="黑体" w:cs="Times New Roman"/>
          <w:color w:val="auto"/>
          <w:kern w:val="0"/>
          <w:sz w:val="30"/>
          <w:highlight w:val="none"/>
        </w:rPr>
        <w:t>四、投标</w:t>
      </w:r>
      <w:bookmarkEnd w:id="8"/>
    </w:p>
    <w:p w14:paraId="54922B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9、投标</w:t>
      </w:r>
    </w:p>
    <w:p w14:paraId="5B5F6D0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9.1投标人可对招标文件载明的全部或部分采购包进行投标。</w:t>
      </w:r>
    </w:p>
    <w:p w14:paraId="5E6EFDE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9.2投标人应对同一个采购包内的所有内容进行完整投标，否则投标无效。</w:t>
      </w:r>
    </w:p>
    <w:p w14:paraId="27C63A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9.3投标人代表只能接受一个投标人的授权参加投标，否则投标无效。</w:t>
      </w:r>
    </w:p>
    <w:p w14:paraId="56FA64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9.4单位负责人为同一人或存在直接控股、管理关系的不同供应商，不得同时参加同一合同项下的投标，否则投标无效。</w:t>
      </w:r>
    </w:p>
    <w:p w14:paraId="5F27F5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F53528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9.6列入失信被执行人、重大税收违法失信主体名单、政府采购严重违法失信行为记录名单及其他不符合政府采购法第二十二条规定条件的供应商，不得参加投标，否则投标无效。</w:t>
      </w:r>
    </w:p>
    <w:p w14:paraId="35BAD3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9.7有下列情形之一的，视为投标人串通投标，其投标无效：</w:t>
      </w:r>
    </w:p>
    <w:p w14:paraId="4AAD4A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（1）不同投标人的电子投标文件由同一单位或个人编制；</w:t>
      </w:r>
    </w:p>
    <w:p w14:paraId="7B67CD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（2）不同投标人委托同一单位或个人办理投标事宜；</w:t>
      </w:r>
    </w:p>
    <w:p w14:paraId="0BD9148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（3）不同投标人的电子投标文件载明的项目管理成员或联系人员为同一人；</w:t>
      </w:r>
    </w:p>
    <w:p w14:paraId="374E93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（4）不同投标人的电子投标文件异常一致或投标报价呈规律性差异；</w:t>
      </w:r>
    </w:p>
    <w:p w14:paraId="6AC727D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（5）不同投标人的电子投标文件相互混装；</w:t>
      </w:r>
    </w:p>
    <w:p w14:paraId="20EE7D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（6）不同投标人的投标保证金从同一单位或个人的账户转出；</w:t>
      </w:r>
    </w:p>
    <w:p w14:paraId="0CBA1E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（7）有关法律、法规和规章及招标文件规定的其他串通投标情形。</w:t>
      </w:r>
    </w:p>
    <w:p w14:paraId="4B6989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10、电子投标文件</w:t>
      </w:r>
    </w:p>
    <w:p w14:paraId="03EB158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10.1电子投标文件的编制</w:t>
      </w:r>
    </w:p>
    <w:p w14:paraId="3CE2E9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（1）投标人应先仔细阅读招标文件的全部内容后，再进行电子投标文件的编制。</w:t>
      </w:r>
    </w:p>
    <w:p w14:paraId="506422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（2）电子投标文件应按照本章第10.2条规定编制其组成部分。</w:t>
      </w:r>
    </w:p>
    <w:p w14:paraId="52A496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7D7EB1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10.2电子投标文件由下述部分组成：</w:t>
      </w:r>
    </w:p>
    <w:p w14:paraId="54885D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59DD28B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4B8D03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1C6A08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23F6E9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7A74B0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00F2560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407DD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7991CE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2A1A06E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0CD4A06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2971CD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0F2A89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3F83F12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AAF91C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⑤招标文件规定作为电子投标文件组成部分的其他内容（若有）</w:t>
      </w:r>
    </w:p>
    <w:p w14:paraId="134B6B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10.3电子投标文件的语言</w:t>
      </w:r>
    </w:p>
    <w:p w14:paraId="335806F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（1）除招标文件另有规定外，电子投标文件应使用中文文本，若有不同文本，以中文文本为准。</w:t>
      </w:r>
    </w:p>
    <w:p w14:paraId="7316F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D8400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10.4投标文件的份数：详见招标文件第二章。</w:t>
      </w:r>
    </w:p>
    <w:p w14:paraId="273245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10.5电子投标文件的格式</w:t>
      </w:r>
    </w:p>
    <w:p w14:paraId="1554188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（1）除招标文件另有规定外，电子投标文件应使用招标文件第七章规定的格式。</w:t>
      </w:r>
    </w:p>
    <w:p w14:paraId="1357F99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（2）除招标文件另有规定外，电子投标文件应使用不能擦去的墨料或墨水打印、书写或复印。</w:t>
      </w:r>
    </w:p>
    <w:p w14:paraId="579771E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（3）除招标文件另有规定外，电子投标文件应使用人民币作为计量货币。</w:t>
      </w:r>
    </w:p>
    <w:p w14:paraId="0239D2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（4）除招标文件另有规定外，签署、盖章应遵守下列规定：</w:t>
      </w:r>
    </w:p>
    <w:p w14:paraId="145EAFF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①电子投标文件应加盖投标人的单位公章。若投标人代表为单位授权的委托代理人，应提供“单位授权书”。</w:t>
      </w:r>
    </w:p>
    <w:p w14:paraId="756CDD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②电子投标文件应没有涂改或行间插字，除非这些改动是根据</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的指示进行的，或是为改正投标人造成的应修改的错误而进行的。若有前述改动，应按照下列规定之一对改动处进行处理：</w:t>
      </w:r>
    </w:p>
    <w:p w14:paraId="3B0588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a.投标人代表签字确认；</w:t>
      </w:r>
    </w:p>
    <w:p w14:paraId="2D5F5B5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b.加盖投标人的单位公章或校正章。</w:t>
      </w:r>
    </w:p>
    <w:p w14:paraId="7A04A1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10.6投标报价</w:t>
      </w:r>
    </w:p>
    <w:p w14:paraId="1B403E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（1）投标报价超出最高限价将导致投标无效。</w:t>
      </w:r>
    </w:p>
    <w:p w14:paraId="6931274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（2）最高限价由采购人根据价格测算情况，在预算金额的额度内合理设定。最高限价不得超出预算金额。</w:t>
      </w:r>
    </w:p>
    <w:p w14:paraId="68A0D2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6A4B650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10.7分包</w:t>
      </w:r>
    </w:p>
    <w:p w14:paraId="0775339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（1）是否允许中标人将本项目的非主体、非关键性工作进行分包：详见招标文件第二章。</w:t>
      </w:r>
    </w:p>
    <w:p w14:paraId="7CD89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C4B75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（3）招标文件允许中标人将非主体、非关键性工作进行分包的项目，有下列情形之一的，中标人不得分包：</w:t>
      </w:r>
    </w:p>
    <w:p w14:paraId="3E657C6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①电子投标文件中未载明分包承担主体；</w:t>
      </w:r>
    </w:p>
    <w:p w14:paraId="076277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②电子投标文件载明的分包承担主体不具备相应资质条件；</w:t>
      </w:r>
    </w:p>
    <w:p w14:paraId="4948D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③电子投标文件载明的分包承担主体拟再次分包；</w:t>
      </w:r>
    </w:p>
    <w:p w14:paraId="1BC16D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④享受中小企业扶持政策获得政府采购合同的，小微企业不得将合同分包给大中型企业，中型企业不得将合同分包给大型企业。</w:t>
      </w:r>
    </w:p>
    <w:p w14:paraId="58B158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10.8投标有效期</w:t>
      </w:r>
    </w:p>
    <w:p w14:paraId="1F6D5B5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（1）招标文件载明的投标有效期：详见招标文件第二章。</w:t>
      </w:r>
    </w:p>
    <w:p w14:paraId="266780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（2）电子投标文件承诺的投标有效期不得少于招标文件载明的投标有效期，否则投标无效。</w:t>
      </w:r>
    </w:p>
    <w:p w14:paraId="3BCF1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（3）根据本次采购活动的需要，</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可于投标有效期届满之前书面要求投标人延长投标有效期，投标人应在</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938F7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10.9投标保证金</w:t>
      </w:r>
    </w:p>
    <w:p w14:paraId="6E8390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（1）投标保证金作为投标人按照招标文件规定履行相应投标责任、义务的约束及担保。</w:t>
      </w:r>
    </w:p>
    <w:p w14:paraId="060B06F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（2）投标人以电子保函形式提交投标保证金的，保函的有效期应等于或长于电子投标文件承诺的投标有效期，否则投标无效。</w:t>
      </w:r>
    </w:p>
    <w:p w14:paraId="1C87A3DD">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（3）提交</w:t>
      </w:r>
    </w:p>
    <w:p w14:paraId="104DBB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F969DA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BC2DB2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③其他形式：</w:t>
      </w:r>
    </w:p>
    <w:p w14:paraId="2603ECF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2EC7A4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④若本项目接受联合体投标且投标人为联合体，则联合体中的牵头方应按照本章第10.9条第（3）款第①、②、③点规定提交投标保证金。</w:t>
      </w:r>
    </w:p>
    <w:p w14:paraId="4D37F51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※除招标文件另有规定外，未按照上述规定提交投标保证金将导致资格审查不合格。</w:t>
      </w:r>
    </w:p>
    <w:p w14:paraId="45CF77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（4）退还</w:t>
      </w:r>
    </w:p>
    <w:p w14:paraId="6A03006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①在投标截止时间前撤回已提交的电子投标文件的投标人，其投标保证金将在</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收到投标人书面撤回通知之日起5个工作日内退回原账户。</w:t>
      </w:r>
    </w:p>
    <w:p w14:paraId="593529C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②未中标人的投标保证金将在中标通知书发出之日起5个工作日内退回原账户。</w:t>
      </w:r>
    </w:p>
    <w:p w14:paraId="58FE0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③中标人的投标保证金将在政府采购合同签订之日起5个工作日内退回原账户；合同签订之日以福建省政府采购网上公开信息系统记载的为准。</w:t>
      </w:r>
    </w:p>
    <w:p w14:paraId="6F0A3F6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④终止招标的，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将在终止公告发布之日起5个工作日内退回已收取的投标保证金及其在银行产生的孳息。</w:t>
      </w:r>
    </w:p>
    <w:p w14:paraId="47AE5C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⑤除招标文件另有规定外，质疑或投诉涉及的投标人，若投标保证金尚未退还，则待质疑或投诉处理完毕后不计利息原额退还。</w:t>
      </w:r>
    </w:p>
    <w:p w14:paraId="1CD9347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※本章第10.9条第（4）款第①、②、③点规定的投标保证金退还时限不包括因投标人自身原因导致无法及时退还而增加的时间。</w:t>
      </w:r>
    </w:p>
    <w:p w14:paraId="2D15B5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DEE244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（6）有下列情形之一的，投标保证金将不予退还或通过投标保函进行索赔：</w:t>
      </w:r>
    </w:p>
    <w:p w14:paraId="781DA6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①投标人串通投标；</w:t>
      </w:r>
    </w:p>
    <w:p w14:paraId="2F38780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②投标人提供虚假材料；</w:t>
      </w:r>
    </w:p>
    <w:p w14:paraId="2210007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③投标人采取不正当手段诋毁、排挤其他投标人；</w:t>
      </w:r>
    </w:p>
    <w:p w14:paraId="4A74E7C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④投标截止时间后，投标人在投标有效期内撤销电子投标文件；</w:t>
      </w:r>
    </w:p>
    <w:p w14:paraId="21072FB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⑤招标文件规定的其他不予退还情形；</w:t>
      </w:r>
    </w:p>
    <w:p w14:paraId="0BA4B5A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⑥中标人有下列情形之一的：</w:t>
      </w:r>
    </w:p>
    <w:p w14:paraId="10D313D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a.除不可抗力外，因中标人自身原因未在中标通知书要求的期限内与采购人签订政府采购合同；</w:t>
      </w:r>
    </w:p>
    <w:p w14:paraId="6CFDAD2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b.未按照招标文件、投标文件的约定签订政府采购合同或提交履约保证金。</w:t>
      </w:r>
    </w:p>
    <w:p w14:paraId="629DFD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※若上述投标保证金不予退还情形给采购人（采购代理机构）造成损失，则投标人还要承担相应的赔偿责任。</w:t>
      </w:r>
    </w:p>
    <w:p w14:paraId="7818DC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10.10电子投标文件的提交</w:t>
      </w:r>
    </w:p>
    <w:p w14:paraId="506FB2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（1）一个投标人只能提交一个电子投标文件，并按照招标文件第一章规定在系统上完成上传、解密操作。</w:t>
      </w:r>
    </w:p>
    <w:p w14:paraId="6C2429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10.11电子投标文件的补充、修改或撤回</w:t>
      </w:r>
    </w:p>
    <w:p w14:paraId="3AB4AC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（1）投标截止时间前，投标人可对所提交的电子投标文件进行补充、修改或撤回，并书面通知</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w:t>
      </w:r>
    </w:p>
    <w:p w14:paraId="46073B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（2）补充、修改的内容应按照本章第10.5条第（4）款规定进行签署、盖章，并按照本章第10.10条规定提交，否则将被拒收。</w:t>
      </w:r>
    </w:p>
    <w:p w14:paraId="0BCA19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※按照上述规定提交的补充、修改内容作为电子投标文件组成部分。</w:t>
      </w:r>
    </w:p>
    <w:p w14:paraId="515779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10.12除招标文件另有规定外，有下列情形之一的，投标无效：</w:t>
      </w:r>
    </w:p>
    <w:p w14:paraId="430604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（1）电子投标文件未按照招标文件要求签署、盖章；</w:t>
      </w:r>
    </w:p>
    <w:p w14:paraId="5DE734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（2）不符合招标文件中规定的资格要求；</w:t>
      </w:r>
    </w:p>
    <w:p w14:paraId="6FCBCC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（3）投标报价超过招标文件中规定的预算金额或最高限价；</w:t>
      </w:r>
    </w:p>
    <w:p w14:paraId="759013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（4）电子投标文件含有采购人不能接受的附加条件；</w:t>
      </w:r>
    </w:p>
    <w:p w14:paraId="031835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（5）有关法律、法规和规章及招标文件规定的其他无效情形。</w:t>
      </w:r>
    </w:p>
    <w:p w14:paraId="015C2C8B">
      <w:pPr>
        <w:pStyle w:val="3"/>
        <w:spacing w:beforeLines="100" w:afterLines="100" w:line="240" w:lineRule="auto"/>
        <w:jc w:val="center"/>
        <w:rPr>
          <w:rFonts w:ascii="黑体" w:hAnsi="黑体" w:eastAsia="黑体" w:cs="Times New Roman"/>
          <w:color w:val="auto"/>
          <w:kern w:val="0"/>
          <w:sz w:val="30"/>
          <w:highlight w:val="none"/>
        </w:rPr>
      </w:pPr>
      <w:bookmarkStart w:id="9" w:name="_Toc139103813"/>
      <w:r>
        <w:rPr>
          <w:rFonts w:ascii="黑体" w:hAnsi="黑体" w:eastAsia="黑体" w:cs="Times New Roman"/>
          <w:color w:val="auto"/>
          <w:kern w:val="0"/>
          <w:sz w:val="30"/>
          <w:highlight w:val="none"/>
        </w:rPr>
        <w:t>五、开标</w:t>
      </w:r>
      <w:bookmarkEnd w:id="9"/>
    </w:p>
    <w:p w14:paraId="044E6F8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11、开标</w:t>
      </w:r>
    </w:p>
    <w:p w14:paraId="5C22034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11.1</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将在招标文件载明的开标时间及地点主持召开开标会，并邀请投标人参加。</w:t>
      </w:r>
    </w:p>
    <w:p w14:paraId="51D611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11.2开标会的主持人、唱标人、记录人及其他工作人员（若有）均由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派出，现场监督人员（若有）可由有关方面派出。</w:t>
      </w:r>
    </w:p>
    <w:p w14:paraId="35A1F3B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314B8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11.4开标会应遵守下列规定：</w:t>
      </w:r>
    </w:p>
    <w:p w14:paraId="324582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C680B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6E070A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23B659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642D0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（5）若投标人未到开标现场参加开标会，也未通过远程参加开标会的，视同认可开标结果。</w:t>
      </w:r>
    </w:p>
    <w:p w14:paraId="324CC4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提出任何疑义或要求（包括质疑）。</w:t>
      </w:r>
    </w:p>
    <w:p w14:paraId="78DE53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11.5投标截止时间后，参加投标的投标人不足三家的，不进行开标。同时，本次采购活动结束，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0B20BA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11.6投标截止时间后撤销投标的处理</w:t>
      </w:r>
    </w:p>
    <w:p w14:paraId="158348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投标截止时间后，投标人在投标有效期内撤销投标的，其撤销投标的行为无效。</w:t>
      </w:r>
    </w:p>
    <w:p w14:paraId="3AE82439">
      <w:pPr>
        <w:pStyle w:val="3"/>
        <w:spacing w:beforeLines="100" w:afterLines="100" w:line="240" w:lineRule="auto"/>
        <w:jc w:val="center"/>
        <w:rPr>
          <w:rFonts w:ascii="黑体" w:hAnsi="黑体" w:eastAsia="黑体" w:cs="Times New Roman"/>
          <w:color w:val="auto"/>
          <w:kern w:val="0"/>
          <w:sz w:val="30"/>
          <w:highlight w:val="none"/>
        </w:rPr>
      </w:pPr>
      <w:bookmarkStart w:id="10" w:name="_Toc139103814"/>
      <w:r>
        <w:rPr>
          <w:rFonts w:ascii="黑体" w:hAnsi="黑体" w:eastAsia="黑体" w:cs="Times New Roman"/>
          <w:color w:val="auto"/>
          <w:kern w:val="0"/>
          <w:sz w:val="30"/>
          <w:highlight w:val="none"/>
        </w:rPr>
        <w:t>六、中标与政府采购合同</w:t>
      </w:r>
      <w:bookmarkEnd w:id="10"/>
    </w:p>
    <w:p w14:paraId="3CD31D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12、中标</w:t>
      </w:r>
    </w:p>
    <w:p w14:paraId="223126F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12.1本项目推荐的中标候选人家数：详见招标文件第二章。</w:t>
      </w:r>
    </w:p>
    <w:p w14:paraId="5EF139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12.2本项目中标人的确定：详见招标文件第二章。</w:t>
      </w:r>
    </w:p>
    <w:p w14:paraId="1867C7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12.3中标公告</w:t>
      </w:r>
    </w:p>
    <w:p w14:paraId="11F15E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（1）中标人确定之日起2个工作日内，</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将在招标文件载明的指定媒体以中标公告的形式发布中标结果。</w:t>
      </w:r>
    </w:p>
    <w:p w14:paraId="2B143A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（2）中标公告的公告期限为1个工作日。</w:t>
      </w:r>
    </w:p>
    <w:p w14:paraId="46D8C74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12.4中标通知书</w:t>
      </w:r>
    </w:p>
    <w:p w14:paraId="4305FE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（1）中标公告发布的同时，</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将向中标人发出中标通知书。</w:t>
      </w:r>
    </w:p>
    <w:p w14:paraId="7B1DB1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（2）中标通知书发出后，采购人不得违法改变中标结果，中标人无正当理由不得放弃中标。</w:t>
      </w:r>
    </w:p>
    <w:p w14:paraId="5C1491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13、政府采购合同</w:t>
      </w:r>
    </w:p>
    <w:p w14:paraId="7679976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8BB0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13.2签订时限：详见须知前附表1的13.2。</w:t>
      </w:r>
    </w:p>
    <w:p w14:paraId="530417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13.3政府采购合同的履行、违约责任和解决争议的方法等适用民法典。</w:t>
      </w:r>
    </w:p>
    <w:p w14:paraId="39B2192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13.4采购人与中标人应根据政府采购合同的约定依法履行合同义务。</w:t>
      </w:r>
    </w:p>
    <w:p w14:paraId="4202BF1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13.5政府采购合同履行过程中，采购人若需追加与合同标的相同的货物或服务，则追加采购金额不得超过原合同采购金额的10%。</w:t>
      </w:r>
    </w:p>
    <w:p w14:paraId="075CA3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13.6中标人在政府采购合同履行过程中应遵守有关法律、法规和规章的强制性规定（即使前述强制性规定有可能在招标文件中未予列明）。</w:t>
      </w:r>
    </w:p>
    <w:p w14:paraId="2F1D5868">
      <w:pPr>
        <w:pStyle w:val="3"/>
        <w:spacing w:beforeLines="100" w:afterLines="100" w:line="240" w:lineRule="auto"/>
        <w:jc w:val="center"/>
        <w:rPr>
          <w:rFonts w:ascii="黑体" w:hAnsi="黑体" w:eastAsia="黑体" w:cs="Times New Roman"/>
          <w:color w:val="auto"/>
          <w:kern w:val="0"/>
          <w:sz w:val="30"/>
          <w:highlight w:val="none"/>
        </w:rPr>
      </w:pPr>
      <w:bookmarkStart w:id="11" w:name="_Toc139103815"/>
      <w:r>
        <w:rPr>
          <w:rFonts w:ascii="黑体" w:hAnsi="黑体" w:eastAsia="黑体" w:cs="Times New Roman"/>
          <w:color w:val="auto"/>
          <w:kern w:val="0"/>
          <w:sz w:val="30"/>
          <w:highlight w:val="none"/>
        </w:rPr>
        <w:t>七、询问、质疑与投诉</w:t>
      </w:r>
      <w:bookmarkEnd w:id="11"/>
    </w:p>
    <w:p w14:paraId="61A4AE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14、询问</w:t>
      </w:r>
    </w:p>
    <w:p w14:paraId="43535F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14.1潜在投标人或投标人对本次采购活动的有关事项若有疑问，可向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提出询问，</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将按照政府采购法及实施条例的有关规定进行答复。</w:t>
      </w:r>
    </w:p>
    <w:p w14:paraId="416F90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15、质疑</w:t>
      </w:r>
    </w:p>
    <w:p w14:paraId="7AAA94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A3D37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E42D6D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（2）质疑人应按照招标文件第二章规定方式提交质疑函。</w:t>
      </w:r>
    </w:p>
    <w:p w14:paraId="219FE70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（3）质疑函应包括下列主要内容：</w:t>
      </w:r>
    </w:p>
    <w:p w14:paraId="3EEA27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①质疑人的基本信息，至少包括：全称、地址、邮政编码等；</w:t>
      </w:r>
    </w:p>
    <w:p w14:paraId="301CC1C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②所质疑项目的基本信息，至少包括：项目编号、项目名称等；</w:t>
      </w:r>
    </w:p>
    <w:p w14:paraId="688987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③所质疑的具体事项（以下简称：“质疑事项”）；</w:t>
      </w:r>
    </w:p>
    <w:p w14:paraId="0A9899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④针对质疑事项提出的明确请求，前述明确请求指质疑人提出质疑的目的以及希望</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对其质疑作出的处理结果，如：暂停招标投标活动、修改招标文件、停止或纠正违法违规行为、中标结果无效、废标、重新招标等；</w:t>
      </w:r>
    </w:p>
    <w:p w14:paraId="7F5D6E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⑤针对质疑事项导致质疑人自身权益受到损害的必要证明材料，至少包括：</w:t>
      </w:r>
    </w:p>
    <w:p w14:paraId="7F3F2B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a.质疑人代表的身份证明材料：</w:t>
      </w:r>
    </w:p>
    <w:p w14:paraId="72EF24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58C4D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a2若本项目接受自然人投标且质疑人为自然人的，提供本人的身份证复印件。</w:t>
      </w:r>
    </w:p>
    <w:p w14:paraId="55FA07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b.其他证明材料（即事实依据和必要的法律依据）包括但不限于下列材料：</w:t>
      </w:r>
    </w:p>
    <w:p w14:paraId="706010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b1所质疑的具体事项是与自己有利害关系的证明材料；</w:t>
      </w:r>
    </w:p>
    <w:p w14:paraId="3208F6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b2质疑函所述事实存在的证明材料，如：采购文件、采购过程或中标结果违法违规或不符合采购文件要求等证明材料；</w:t>
      </w:r>
    </w:p>
    <w:p w14:paraId="6407FC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b3依法应终止采购程序的证明材料；</w:t>
      </w:r>
    </w:p>
    <w:p w14:paraId="6866F7C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b4应重新采购的证明材料；</w:t>
      </w:r>
    </w:p>
    <w:p w14:paraId="28A4739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b5采购文件、采购过程或中标、成交结果损害自己合法权益的证明材料等；</w:t>
      </w:r>
    </w:p>
    <w:p w14:paraId="080DEB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1307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⑥质疑人代表及其联系方法的信息，至少包括：姓名、手机、电子信箱、邮寄地址等。</w:t>
      </w:r>
    </w:p>
    <w:p w14:paraId="50476C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⑦提出质疑的日期。</w:t>
      </w:r>
    </w:p>
    <w:p w14:paraId="0C5064B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※质疑人为法人或其他组织的，质疑函应由单位负责人或委托代理人签字或盖章，并加盖投标人的单位公章。质疑人为自然人的，质疑函应由本人签字。</w:t>
      </w:r>
    </w:p>
    <w:p w14:paraId="23FB00C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15.2对不符合本章第15.1条规定的质疑，将按照下列规定进行处理：</w:t>
      </w:r>
    </w:p>
    <w:p w14:paraId="340C79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（1）不符合其中第（1）、（2）条规定的，书面告知质疑人不予受理及其理由。</w:t>
      </w:r>
    </w:p>
    <w:p w14:paraId="06FDD1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（2）不符合其中第（3）条规定的，书面告知质疑人修改、补充后在规定时限内重新提交质疑函。</w:t>
      </w:r>
    </w:p>
    <w:p w14:paraId="1571D92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15.3对符合本章第15.1条规定的质疑，将按照政府采购法及实施条例、政府采购质疑和投诉办法的有关规定进行答复。</w:t>
      </w:r>
    </w:p>
    <w:p w14:paraId="7A12D2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15.4招标文件的质疑：详见招标文件第二章。</w:t>
      </w:r>
    </w:p>
    <w:p w14:paraId="7B2242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16、投诉</w:t>
      </w:r>
    </w:p>
    <w:p w14:paraId="6FA22F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4389E3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16.2投诉应有明确的请求和必要的证明材料，投诉的事项不得超出已质疑事项的范围。</w:t>
      </w:r>
    </w:p>
    <w:p w14:paraId="6906100F">
      <w:pPr>
        <w:pStyle w:val="3"/>
        <w:spacing w:beforeLines="100" w:afterLines="100" w:line="240" w:lineRule="auto"/>
        <w:jc w:val="center"/>
        <w:rPr>
          <w:rFonts w:ascii="黑体" w:hAnsi="黑体" w:eastAsia="黑体" w:cs="Times New Roman"/>
          <w:color w:val="auto"/>
          <w:kern w:val="0"/>
          <w:sz w:val="30"/>
          <w:highlight w:val="none"/>
        </w:rPr>
      </w:pPr>
      <w:bookmarkStart w:id="12" w:name="_Toc139103816"/>
      <w:r>
        <w:rPr>
          <w:rFonts w:ascii="黑体" w:hAnsi="黑体" w:eastAsia="黑体" w:cs="Times New Roman"/>
          <w:color w:val="auto"/>
          <w:kern w:val="0"/>
          <w:sz w:val="30"/>
          <w:highlight w:val="none"/>
        </w:rPr>
        <w:t>八、政府采购政策</w:t>
      </w:r>
      <w:bookmarkEnd w:id="12"/>
    </w:p>
    <w:p w14:paraId="11E0A3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17、政府采购政策由财政部根据国家的经济和社会发展政策并会同国家有关部委制定，包括但不限于下列具体政策要求：</w:t>
      </w:r>
    </w:p>
    <w:p w14:paraId="2B4D2D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17.1进口产品指通过中国海关报关验放进入中国境内且产自关境外的产品，其中：</w:t>
      </w:r>
    </w:p>
    <w:p w14:paraId="0CFB3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29B4D2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（2）凡在海关特殊监管区域内企业生产或加工（包括从境外进口料件）销往境内其他地区的产品，不作为政府采购项下进口产品。</w:t>
      </w:r>
    </w:p>
    <w:p w14:paraId="59A347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（3）对从境外进入海关特殊监管区域，再经办理报关手续后从海关特殊监管区进入境内其他地区的产品，认定为进口产品。</w:t>
      </w:r>
    </w:p>
    <w:p w14:paraId="6CDFF4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（4）招标文件列明不允许或未列明允许进口产品参加投标的，均视为拒绝进口产品参加投标。</w:t>
      </w:r>
    </w:p>
    <w:p w14:paraId="5F875A1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935ADA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9FBDB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（1）中小企业指符合下列条件的中型、小型、微型企业：</w:t>
      </w:r>
    </w:p>
    <w:p w14:paraId="0C7A7A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D0F331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②符合中小企业划分标准的个体工商户，在政府采购活动中视同中小企业。</w:t>
      </w:r>
    </w:p>
    <w:p w14:paraId="17B394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（2）在政府采购活动中，供应商提供的货物、工程或者服务符合下列情形的，享受本办法规定的中小企业扶持政策：</w:t>
      </w:r>
    </w:p>
    <w:p w14:paraId="3E1467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①在货物采购项目中，货物由中小企业制造，即货物由中小企业生产且使用该中小企业商号或者注册商标；</w:t>
      </w:r>
    </w:p>
    <w:p w14:paraId="615F09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②在工程采购项目中，工程由中小企业承建，即工程施工单位为中小企业；</w:t>
      </w:r>
    </w:p>
    <w:p w14:paraId="73BF9B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③在服务采购项目中，服务由中小企业承接，即提供服务的人员为中小企业依照《中华人民共和国劳动合同法》订立劳动合同的从业人员。</w:t>
      </w:r>
    </w:p>
    <w:p w14:paraId="043A5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在货物采购项目中，供应商提供的货物既有中小企业制造货物，也有大型企业制造货物的，不享受本办法规定的中小企业扶持政策。</w:t>
      </w:r>
    </w:p>
    <w:p w14:paraId="555AA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5C6D6C3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（3）投标人应当按照招标文件明确的采购标的对应行业的划分标准出具中小企业声明函。</w:t>
      </w:r>
    </w:p>
    <w:p w14:paraId="61C36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9BF892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282EA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①监狱企业参加采购活动时，应提供由省级以上监狱管理局、戒毒管理局（含新疆生产建设兵团）出具的属于监狱企业的证明文件。</w:t>
      </w:r>
    </w:p>
    <w:p w14:paraId="47B9D1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②监狱企业视同小型、微型企业。</w:t>
      </w:r>
    </w:p>
    <w:p w14:paraId="6EE324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（5）残疾人福利性单位指同时符合下列条件的单位：</w:t>
      </w:r>
    </w:p>
    <w:p w14:paraId="0B6F33E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①安置的残疾人占本单位在职职工人数的比例不低于25%（含25%），并且安置的残疾人人数不少于10人（含10人）；</w:t>
      </w:r>
    </w:p>
    <w:p w14:paraId="56CC01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②依法与安置的每位残疾人签订了一年以上（含一年）的劳动合同或服务协议；</w:t>
      </w:r>
    </w:p>
    <w:p w14:paraId="197619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③为安置的每位残疾人按月足额缴纳了基本养老保险、基本医疗保险、失业保险、工伤保险和生育保险等社会保险费；</w:t>
      </w:r>
    </w:p>
    <w:p w14:paraId="44FF57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④通过银行等金融机构向安置的每位残疾人，按月支付了不低于单位所在区县适用的经省级人民政府批准的月最低工资标准的工资；</w:t>
      </w:r>
    </w:p>
    <w:p w14:paraId="7F97D18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⑤提供本单位制造的货物、承担的工程或服务，或提供其他残疾人福利性单位制造的货物（不包括使用非残疾人福利性单位注册商标的货物）。</w:t>
      </w:r>
    </w:p>
    <w:p w14:paraId="68E337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106DF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01969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17.4信用记录指由财政部确定的有关网站提供的相关主体信用信息。信用记录的查询及使用应符合财政部文件（财库[2016]125号）规定。</w:t>
      </w:r>
    </w:p>
    <w:p w14:paraId="24637C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17.5为落实政府采购政策需满足的要求：详见招标文件第一章。</w:t>
      </w:r>
    </w:p>
    <w:p w14:paraId="69A8CEA6">
      <w:pPr>
        <w:pStyle w:val="3"/>
        <w:spacing w:beforeLines="100" w:afterLines="100" w:line="240" w:lineRule="auto"/>
        <w:jc w:val="center"/>
        <w:rPr>
          <w:rFonts w:ascii="黑体" w:hAnsi="黑体" w:eastAsia="黑体" w:cs="Times New Roman"/>
          <w:color w:val="auto"/>
          <w:kern w:val="0"/>
          <w:sz w:val="30"/>
          <w:highlight w:val="none"/>
        </w:rPr>
      </w:pPr>
      <w:bookmarkStart w:id="13" w:name="_Toc139103817"/>
      <w:r>
        <w:rPr>
          <w:rFonts w:ascii="黑体" w:hAnsi="黑体" w:eastAsia="黑体" w:cs="Times New Roman"/>
          <w:color w:val="auto"/>
          <w:kern w:val="0"/>
          <w:sz w:val="30"/>
          <w:highlight w:val="none"/>
        </w:rPr>
        <w:t>九、本项目的有关信息</w:t>
      </w:r>
      <w:bookmarkEnd w:id="13"/>
    </w:p>
    <w:p w14:paraId="090670E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FFF409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18.1指定媒体：详见招标文件第二章。</w:t>
      </w:r>
    </w:p>
    <w:p w14:paraId="743803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18.2本项目的潜在投标人或投标人应随时关注指定媒体，否则产生不利后果由其自行承担。</w:t>
      </w:r>
    </w:p>
    <w:p w14:paraId="0F1BBAEB">
      <w:pPr>
        <w:pStyle w:val="3"/>
        <w:spacing w:beforeLines="100" w:afterLines="100" w:line="240" w:lineRule="auto"/>
        <w:jc w:val="center"/>
        <w:rPr>
          <w:rFonts w:ascii="黑体" w:hAnsi="黑体" w:eastAsia="黑体" w:cs="Times New Roman"/>
          <w:color w:val="auto"/>
          <w:kern w:val="0"/>
          <w:sz w:val="30"/>
          <w:highlight w:val="none"/>
        </w:rPr>
      </w:pPr>
      <w:bookmarkStart w:id="14" w:name="_Toc139103818"/>
      <w:r>
        <w:rPr>
          <w:rFonts w:ascii="黑体" w:hAnsi="黑体" w:eastAsia="黑体" w:cs="Times New Roman"/>
          <w:color w:val="auto"/>
          <w:kern w:val="0"/>
          <w:sz w:val="30"/>
          <w:highlight w:val="none"/>
        </w:rPr>
        <w:t>十、其他事项</w:t>
      </w:r>
      <w:bookmarkEnd w:id="14"/>
    </w:p>
    <w:p w14:paraId="0267A9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19、其他事项：</w:t>
      </w:r>
    </w:p>
    <w:p w14:paraId="3BB588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206089B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19.2其他：详见招标文件第二章。</w:t>
      </w:r>
    </w:p>
    <w:p w14:paraId="6F0C0F5F">
      <w:pPr>
        <w:rPr>
          <w:color w:val="auto"/>
          <w:highlight w:val="none"/>
        </w:rPr>
      </w:pPr>
    </w:p>
    <w:p w14:paraId="623A9A69">
      <w:pPr>
        <w:rPr>
          <w:color w:val="auto"/>
          <w:highlight w:val="none"/>
        </w:rPr>
        <w:sectPr>
          <w:pgSz w:w="11906" w:h="16838"/>
          <w:pgMar w:top="1418" w:right="1418" w:bottom="1418" w:left="1418" w:header="851" w:footer="992" w:gutter="0"/>
          <w:cols w:space="425" w:num="1"/>
          <w:docGrid w:type="lines" w:linePitch="312" w:charSpace="0"/>
        </w:sectPr>
      </w:pPr>
    </w:p>
    <w:p w14:paraId="4E097277">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5" w:name="_Toc139103819"/>
      <w:r>
        <w:rPr>
          <w:rFonts w:ascii="黑体" w:hAnsi="黑体" w:eastAsia="黑体" w:cs="Times New Roman"/>
          <w:color w:val="auto"/>
          <w:kern w:val="0"/>
          <w:sz w:val="32"/>
          <w:szCs w:val="44"/>
          <w:highlight w:val="none"/>
        </w:rPr>
        <w:t>第四章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资格审查与评标</w:t>
      </w:r>
      <w:bookmarkEnd w:id="15"/>
    </w:p>
    <w:p w14:paraId="3321DD2B">
      <w:pPr>
        <w:pStyle w:val="3"/>
        <w:spacing w:beforeLines="100" w:afterLines="100" w:line="240" w:lineRule="auto"/>
        <w:jc w:val="center"/>
        <w:rPr>
          <w:rFonts w:ascii="黑体" w:hAnsi="黑体" w:eastAsia="黑体" w:cs="Times New Roman"/>
          <w:color w:val="auto"/>
          <w:kern w:val="0"/>
          <w:sz w:val="30"/>
          <w:highlight w:val="none"/>
        </w:rPr>
      </w:pPr>
      <w:bookmarkStart w:id="16" w:name="_Toc139103820"/>
      <w:r>
        <w:rPr>
          <w:rFonts w:ascii="黑体" w:hAnsi="黑体" w:eastAsia="黑体" w:cs="Times New Roman"/>
          <w:color w:val="auto"/>
          <w:kern w:val="0"/>
          <w:sz w:val="30"/>
          <w:highlight w:val="none"/>
        </w:rPr>
        <w:t>一、资格审查</w:t>
      </w:r>
      <w:bookmarkEnd w:id="16"/>
    </w:p>
    <w:p w14:paraId="631846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1、开标结束后，由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负责资格审查小组的组建及资格审查工作的组织。</w:t>
      </w:r>
    </w:p>
    <w:p w14:paraId="49D0CE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1.1资格审查小组</w:t>
      </w:r>
    </w:p>
    <w:p w14:paraId="1CE81E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资格审查小组由3人组成，并负责具体审查事务，其中由采购人派出的采购人代表至少1人，由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派出的工作人员至少1人，其余1人可为采购人代表或</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的工作人员。</w:t>
      </w:r>
    </w:p>
    <w:p w14:paraId="76121D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1.2资格审查的依据是招标文件和电子投标文件。</w:t>
      </w:r>
    </w:p>
    <w:p w14:paraId="6A90D0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1.3资格审查的范围及内容：电子投标文件（资格及资信证明部分），具体如下：</w:t>
      </w:r>
    </w:p>
    <w:p w14:paraId="3F9F7B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（1）“投标函”；</w:t>
      </w:r>
    </w:p>
    <w:p w14:paraId="23A0617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（2）“投标人的资格及资信证明文件”</w:t>
      </w:r>
    </w:p>
    <w:p w14:paraId="308387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①一般资格证明文件：</w:t>
      </w:r>
    </w:p>
    <w:p w14:paraId="02E738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3840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Align w:val="center"/>
          </w:tcPr>
          <w:p w14:paraId="73C65A5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189" w:type="dxa"/>
            <w:vAlign w:val="center"/>
          </w:tcPr>
          <w:p w14:paraId="6E8BBD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6146" w:type="dxa"/>
            <w:vAlign w:val="center"/>
          </w:tcPr>
          <w:p w14:paraId="5199373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37B3C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75DB36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189" w:type="dxa"/>
            <w:vAlign w:val="center"/>
          </w:tcPr>
          <w:p w14:paraId="365B86B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单位授权书</w:t>
            </w:r>
          </w:p>
        </w:tc>
        <w:tc>
          <w:tcPr>
            <w:tcW w:w="6146" w:type="dxa"/>
            <w:vAlign w:val="center"/>
          </w:tcPr>
          <w:p w14:paraId="1F851B2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F543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2872BF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189" w:type="dxa"/>
            <w:vAlign w:val="center"/>
          </w:tcPr>
          <w:p w14:paraId="1A62358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营业执照等证明文件</w:t>
            </w:r>
          </w:p>
        </w:tc>
        <w:tc>
          <w:tcPr>
            <w:tcW w:w="6146" w:type="dxa"/>
            <w:vAlign w:val="center"/>
          </w:tcPr>
          <w:p w14:paraId="3F22A5E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67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BB7AF9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189" w:type="dxa"/>
            <w:vAlign w:val="center"/>
          </w:tcPr>
          <w:p w14:paraId="0BB74DE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提供财务状况报告</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财务报告、或资信证明）</w:t>
            </w:r>
          </w:p>
        </w:tc>
        <w:tc>
          <w:tcPr>
            <w:tcW w:w="6146" w:type="dxa"/>
            <w:vAlign w:val="center"/>
          </w:tcPr>
          <w:p w14:paraId="33DA4BE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4977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52AF79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2189" w:type="dxa"/>
            <w:vAlign w:val="center"/>
          </w:tcPr>
          <w:p w14:paraId="5DF426F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依法缴纳税收证明材料</w:t>
            </w:r>
          </w:p>
        </w:tc>
        <w:tc>
          <w:tcPr>
            <w:tcW w:w="6146" w:type="dxa"/>
            <w:vAlign w:val="center"/>
          </w:tcPr>
          <w:p w14:paraId="3C60D367">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908F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56C4FC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2189" w:type="dxa"/>
            <w:vAlign w:val="center"/>
          </w:tcPr>
          <w:p w14:paraId="3D9725C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依法缴纳社会保障资金证明材料</w:t>
            </w:r>
          </w:p>
        </w:tc>
        <w:tc>
          <w:tcPr>
            <w:tcW w:w="6146" w:type="dxa"/>
            <w:vAlign w:val="center"/>
          </w:tcPr>
          <w:p w14:paraId="2BE60A8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00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60FEC6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2189" w:type="dxa"/>
            <w:vAlign w:val="center"/>
          </w:tcPr>
          <w:p w14:paraId="5A77FE6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具备履行合同所必需设备和专业技术能力的声明函</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若有</w:t>
            </w:r>
            <w:r>
              <w:rPr>
                <w:rFonts w:hint="eastAsia" w:asciiTheme="minorEastAsia" w:hAnsiTheme="minorEastAsia"/>
                <w:color w:val="auto"/>
                <w:sz w:val="24"/>
                <w:szCs w:val="24"/>
                <w:highlight w:val="none"/>
              </w:rPr>
              <w:t>）</w:t>
            </w:r>
          </w:p>
        </w:tc>
        <w:tc>
          <w:tcPr>
            <w:tcW w:w="6146" w:type="dxa"/>
            <w:vAlign w:val="center"/>
          </w:tcPr>
          <w:p w14:paraId="002AB571">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BCC7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A7E904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2189" w:type="dxa"/>
            <w:vAlign w:val="center"/>
          </w:tcPr>
          <w:p w14:paraId="291C4F1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参加采购活动前三年内在经营活动中没有重大违法记录的声明</w:t>
            </w:r>
          </w:p>
        </w:tc>
        <w:tc>
          <w:tcPr>
            <w:tcW w:w="6146" w:type="dxa"/>
            <w:vAlign w:val="center"/>
          </w:tcPr>
          <w:p w14:paraId="280FD41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400F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2CF9D1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2189" w:type="dxa"/>
            <w:vAlign w:val="center"/>
          </w:tcPr>
          <w:p w14:paraId="7EEDEBD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信用记录查询结果</w:t>
            </w:r>
          </w:p>
        </w:tc>
        <w:tc>
          <w:tcPr>
            <w:tcW w:w="6146" w:type="dxa"/>
            <w:vAlign w:val="center"/>
          </w:tcPr>
          <w:p w14:paraId="32583099">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、政府采购严重违法失信行为记录名单及其他重大违法记录且相关信用惩戒期限未满的，其资格审查不合格。</w:t>
            </w:r>
          </w:p>
        </w:tc>
      </w:tr>
      <w:tr w14:paraId="67240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1C7A5F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2189" w:type="dxa"/>
            <w:vAlign w:val="center"/>
          </w:tcPr>
          <w:p w14:paraId="657394B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中小企业声明函（以资格条件落实中小企业扶持政策时适用）</w:t>
            </w:r>
          </w:p>
        </w:tc>
        <w:tc>
          <w:tcPr>
            <w:tcW w:w="6146" w:type="dxa"/>
            <w:vAlign w:val="center"/>
          </w:tcPr>
          <w:p w14:paraId="747B8A28">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F511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F7F680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2189" w:type="dxa"/>
            <w:vAlign w:val="center"/>
          </w:tcPr>
          <w:p w14:paraId="1ABDD4D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联合体协议（若有）</w:t>
            </w:r>
          </w:p>
        </w:tc>
        <w:tc>
          <w:tcPr>
            <w:tcW w:w="6146" w:type="dxa"/>
            <w:vAlign w:val="center"/>
          </w:tcPr>
          <w:p w14:paraId="50017EA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①招标文件接受联合体投标且投标人为联合体的，投标人应提供本协议；否则无须提供。</w:t>
            </w:r>
          </w:p>
          <w:p w14:paraId="2022B42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②本协议由委托代理人签字或盖章的，应按照招标文件第七章载明的格式提供“单位授权书”。</w:t>
            </w:r>
          </w:p>
        </w:tc>
      </w:tr>
    </w:tbl>
    <w:p w14:paraId="024A10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※备注说明</w:t>
      </w:r>
    </w:p>
    <w:p w14:paraId="39D7EB4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①投标人应根据自身实际情况提供上述资格要求的证明材料，格式可参考招标文件第七章提供。</w:t>
      </w:r>
    </w:p>
    <w:p w14:paraId="5455D9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②投标人提供的相应证明材料复印件均应符合：内容完整、清晰、整洁，并由投标人加盖其单位公章。</w:t>
      </w:r>
    </w:p>
    <w:p w14:paraId="6749F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80A57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④.其他资格证明文件：</w:t>
      </w:r>
    </w:p>
    <w:p w14:paraId="79048B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5EF8B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238E95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692D79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178F0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082382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0D395883">
            <w:pPr>
              <w:spacing w:line="360" w:lineRule="auto"/>
              <w:rPr>
                <w:rFonts w:asciiTheme="minorEastAsia" w:hAnsiTheme="minorEastAsia"/>
                <w:color w:val="auto"/>
                <w:sz w:val="24"/>
                <w:szCs w:val="24"/>
                <w:highlight w:val="none"/>
              </w:rPr>
            </w:pPr>
          </w:p>
        </w:tc>
      </w:tr>
    </w:tbl>
    <w:p w14:paraId="298643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（3）投标保证金。</w:t>
      </w:r>
    </w:p>
    <w:p w14:paraId="067C69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4CA40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055E56C5">
            <w:pPr>
              <w:spacing w:line="360" w:lineRule="auto"/>
              <w:jc w:val="center"/>
              <w:rPr>
                <w:color w:val="auto"/>
                <w:sz w:val="24"/>
                <w:szCs w:val="24"/>
                <w:highlight w:val="none"/>
              </w:rPr>
            </w:pPr>
            <w:r>
              <w:rPr>
                <w:color w:val="auto"/>
                <w:sz w:val="24"/>
                <w:szCs w:val="24"/>
                <w:highlight w:val="none"/>
              </w:rPr>
              <w:t>明细</w:t>
            </w:r>
          </w:p>
        </w:tc>
      </w:tr>
      <w:tr w14:paraId="12BC1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0214B1E">
            <w:pPr>
              <w:spacing w:line="360" w:lineRule="auto"/>
              <w:rPr>
                <w:color w:val="auto"/>
                <w:sz w:val="24"/>
                <w:szCs w:val="24"/>
                <w:highlight w:val="none"/>
              </w:rPr>
            </w:pPr>
            <w:r>
              <w:rPr>
                <w:color w:val="auto"/>
                <w:sz w:val="24"/>
                <w:szCs w:val="24"/>
                <w:highlight w:val="none"/>
              </w:rPr>
              <w:t>未按照招标文件规定提交投标函</w:t>
            </w:r>
          </w:p>
        </w:tc>
      </w:tr>
      <w:tr w14:paraId="11C41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F04ED1B">
            <w:pPr>
              <w:spacing w:line="360" w:lineRule="auto"/>
              <w:rPr>
                <w:color w:val="auto"/>
                <w:sz w:val="24"/>
                <w:szCs w:val="24"/>
                <w:highlight w:val="none"/>
              </w:rPr>
            </w:pPr>
            <w:r>
              <w:rPr>
                <w:color w:val="auto"/>
                <w:sz w:val="24"/>
                <w:szCs w:val="24"/>
                <w:highlight w:val="none"/>
              </w:rPr>
              <w:t>未按照招标文件规定提交投标人的资格及资信文件</w:t>
            </w:r>
          </w:p>
        </w:tc>
      </w:tr>
      <w:tr w14:paraId="4AAB0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D14CA8C">
            <w:pPr>
              <w:spacing w:line="360" w:lineRule="auto"/>
              <w:rPr>
                <w:color w:val="auto"/>
                <w:sz w:val="24"/>
                <w:szCs w:val="24"/>
                <w:highlight w:val="none"/>
              </w:rPr>
            </w:pPr>
            <w:r>
              <w:rPr>
                <w:color w:val="auto"/>
                <w:sz w:val="24"/>
                <w:szCs w:val="24"/>
                <w:highlight w:val="none"/>
              </w:rPr>
              <w:t>未按照招标文件规定提交投标保证金</w:t>
            </w:r>
          </w:p>
        </w:tc>
      </w:tr>
    </w:tbl>
    <w:p w14:paraId="1851B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65FE43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资格审查不合格项：无</w:t>
      </w:r>
    </w:p>
    <w:p w14:paraId="3D025E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00724C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2、资格审查情况不得私自外泄，有关信息由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统一对外发布。</w:t>
      </w:r>
    </w:p>
    <w:p w14:paraId="1967DD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3、资格审查合格的投标人不足三家的，不进行评标。同时，本次采购活动结束，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2774C451">
      <w:pPr>
        <w:pStyle w:val="3"/>
        <w:spacing w:beforeLines="100" w:afterLines="100" w:line="240" w:lineRule="auto"/>
        <w:jc w:val="center"/>
        <w:rPr>
          <w:rFonts w:ascii="黑体" w:hAnsi="黑体" w:eastAsia="黑体" w:cs="Times New Roman"/>
          <w:color w:val="auto"/>
          <w:kern w:val="0"/>
          <w:sz w:val="30"/>
          <w:highlight w:val="none"/>
        </w:rPr>
      </w:pPr>
      <w:bookmarkStart w:id="17" w:name="_Toc139103821"/>
      <w:r>
        <w:rPr>
          <w:rFonts w:ascii="黑体" w:hAnsi="黑体" w:eastAsia="黑体" w:cs="Times New Roman"/>
          <w:color w:val="auto"/>
          <w:kern w:val="0"/>
          <w:sz w:val="30"/>
          <w:highlight w:val="none"/>
        </w:rPr>
        <w:t>二、评标</w:t>
      </w:r>
      <w:bookmarkEnd w:id="17"/>
    </w:p>
    <w:p w14:paraId="6EA770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4、资格审查结束后，由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负责评标委员会的组建及评标工作的组织。</w:t>
      </w:r>
    </w:p>
    <w:p w14:paraId="3C4A9A8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w:t>
      </w:r>
    </w:p>
    <w:p w14:paraId="3341E7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由采购人代表和评审专家两部分共5人组成，其中由福建省政府采购评审专家库产生的评审专家4人，由采购人派出的采购人代表1人。</w:t>
      </w:r>
    </w:p>
    <w:p w14:paraId="6FE978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5.2评标委员会负责具体评标事务，并按照下列原则依法独立履行有关职责：</w:t>
      </w:r>
    </w:p>
    <w:p w14:paraId="14CC6C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（1）评标应保护国家利益、社会公共利益和各方当事人合法权益，提高采购效益，保证项目质量。</w:t>
      </w:r>
    </w:p>
    <w:p w14:paraId="3D8684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（2）评标应遵循公平、公正、科学、严谨和择优原则。</w:t>
      </w:r>
    </w:p>
    <w:p w14:paraId="30AA55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（3）评标的依据是招标文件和电子投标文件。</w:t>
      </w:r>
    </w:p>
    <w:p w14:paraId="441CC2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（4）应按照招标文件规定推荐中标候选人或确定中标人。</w:t>
      </w:r>
    </w:p>
    <w:p w14:paraId="3D3977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（5）评标应遵守下列评标纪律：</w:t>
      </w:r>
    </w:p>
    <w:p w14:paraId="0CDAAE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①评标情况不得私自外泄，有关信息由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统一对外发布。</w:t>
      </w:r>
    </w:p>
    <w:p w14:paraId="1FEE14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或投标人提供的要求保密的资料，不得摘记翻印和外传。</w:t>
      </w:r>
    </w:p>
    <w:p w14:paraId="5CCCC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③不得收受投标人或有关人员的任何礼物，不得串联鼓动其他人袒护某投标人。若与投标人存在利害关系，则应主动声明并回避。</w:t>
      </w:r>
    </w:p>
    <w:p w14:paraId="071763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④全体评委应按照招标文件规定进行评标，一切认定事项应查有实据且不得弄虚作假。</w:t>
      </w:r>
    </w:p>
    <w:p w14:paraId="3997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⑤评标中应充分发扬民主，推荐中标候选人或确定中标人后要服从评标报告。</w:t>
      </w:r>
    </w:p>
    <w:p w14:paraId="38B01E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※对违反评标纪律的评委，将取消其评委资格，对评标工作造成严重损失者将予以通报批评乃至追究法律责任。</w:t>
      </w:r>
    </w:p>
    <w:p w14:paraId="053650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6、评标程序</w:t>
      </w:r>
    </w:p>
    <w:p w14:paraId="3EA905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6.1评标前的准备工作</w:t>
      </w:r>
    </w:p>
    <w:p w14:paraId="72B077E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（1）全体评委应认真审阅招标文件，了解评委应履行或遵守的职责、义务和评标纪律。</w:t>
      </w:r>
    </w:p>
    <w:p w14:paraId="09902C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418C4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6.2符合性审查</w:t>
      </w:r>
    </w:p>
    <w:p w14:paraId="5FB534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（1）评标委员会依据招标文件的实质性要求，对通过资格审查的电子投标文件进行符合性审查，以确定其是否满足招标文件的实质性要求。</w:t>
      </w:r>
    </w:p>
    <w:p w14:paraId="24A241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（2）满足招标文件的实质性要求指电子投标文件对招标文件实质性要求的响应不存在重大偏差或保留。</w:t>
      </w:r>
    </w:p>
    <w:p w14:paraId="3A2BD6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6CFF9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4E49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（5）评标委员会对所有投标人都执行相同的程序和标准。</w:t>
      </w:r>
    </w:p>
    <w:p w14:paraId="1FB506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（6）有下列情形之一的，符合性审查不合格：</w:t>
      </w:r>
    </w:p>
    <w:p w14:paraId="30336C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①项目一般情形：</w:t>
      </w:r>
    </w:p>
    <w:p w14:paraId="5D8FDC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54482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789017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2" w:type="dxa"/>
            <w:vAlign w:val="center"/>
          </w:tcPr>
          <w:p w14:paraId="752EC78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符合审查要求概况</w:t>
            </w:r>
          </w:p>
        </w:tc>
        <w:tc>
          <w:tcPr>
            <w:tcW w:w="5903" w:type="dxa"/>
            <w:vAlign w:val="center"/>
          </w:tcPr>
          <w:p w14:paraId="64C0964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0C28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3DA85A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2" w:type="dxa"/>
            <w:vAlign w:val="center"/>
          </w:tcPr>
          <w:p w14:paraId="7FEF246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情形1</w:t>
            </w:r>
          </w:p>
        </w:tc>
        <w:tc>
          <w:tcPr>
            <w:tcW w:w="5903" w:type="dxa"/>
            <w:vAlign w:val="center"/>
          </w:tcPr>
          <w:p w14:paraId="0185200C">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违反招标文件中载明“投标无效”条款的规定；</w:t>
            </w:r>
          </w:p>
        </w:tc>
      </w:tr>
      <w:tr w14:paraId="457E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8B5390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282" w:type="dxa"/>
            <w:vAlign w:val="center"/>
          </w:tcPr>
          <w:p w14:paraId="7843669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情形2</w:t>
            </w:r>
          </w:p>
        </w:tc>
        <w:tc>
          <w:tcPr>
            <w:tcW w:w="5903" w:type="dxa"/>
            <w:vAlign w:val="center"/>
          </w:tcPr>
          <w:p w14:paraId="183A2DC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属于招标文件第三章第10.12条规定的投标无效情形；</w:t>
            </w:r>
          </w:p>
        </w:tc>
      </w:tr>
      <w:tr w14:paraId="6989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3E06FE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282" w:type="dxa"/>
            <w:vAlign w:val="center"/>
          </w:tcPr>
          <w:p w14:paraId="18A3242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情形3</w:t>
            </w:r>
          </w:p>
        </w:tc>
        <w:tc>
          <w:tcPr>
            <w:tcW w:w="5903" w:type="dxa"/>
            <w:vAlign w:val="center"/>
          </w:tcPr>
          <w:p w14:paraId="1110D43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投标文件对招标文件实质性要求的响应存在重大偏离或保留。</w:t>
            </w:r>
          </w:p>
        </w:tc>
      </w:tr>
      <w:tr w14:paraId="4E64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BCFE16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82" w:type="dxa"/>
            <w:vAlign w:val="center"/>
          </w:tcPr>
          <w:p w14:paraId="72D5038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带★号条款</w:t>
            </w:r>
          </w:p>
        </w:tc>
        <w:tc>
          <w:tcPr>
            <w:tcW w:w="5903" w:type="dxa"/>
            <w:vAlign w:val="center"/>
          </w:tcPr>
          <w:p w14:paraId="40FDC3EC">
            <w:pPr>
              <w:spacing w:line="360" w:lineRule="auto"/>
              <w:rPr>
                <w:rFonts w:asciiTheme="minorEastAsia" w:hAnsiTheme="minorEastAsia"/>
                <w:color w:val="auto"/>
                <w:sz w:val="24"/>
                <w:szCs w:val="24"/>
                <w:highlight w:val="none"/>
              </w:rPr>
            </w:pPr>
          </w:p>
        </w:tc>
      </w:tr>
    </w:tbl>
    <w:p w14:paraId="7F714E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②本项目规定的其他情形：</w:t>
      </w:r>
    </w:p>
    <w:p w14:paraId="3241EA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527F6D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4F96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2663A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797DB6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3418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E2253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FA73DD9">
            <w:pPr>
              <w:spacing w:line="360" w:lineRule="auto"/>
              <w:rPr>
                <w:rFonts w:asciiTheme="minorEastAsia" w:hAnsiTheme="minorEastAsia"/>
                <w:color w:val="auto"/>
                <w:sz w:val="24"/>
                <w:szCs w:val="24"/>
                <w:highlight w:val="none"/>
              </w:rPr>
            </w:pPr>
          </w:p>
        </w:tc>
      </w:tr>
    </w:tbl>
    <w:p w14:paraId="26F84D4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E048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0D343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6CBC26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1752C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86A2F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118EFCF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05CB115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5956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5F058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2DAC29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69B8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35CC47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6C3D27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3B9437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879C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413AB4E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4E3F933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09423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A3849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345460D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186A88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6.3澄清有关问题</w:t>
      </w:r>
    </w:p>
    <w:p w14:paraId="4629E4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FE815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1A4C9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（3）电子投标文件报价出现前后不一致的，除招标文件另有规定外，按照下列规定修正：</w:t>
      </w:r>
    </w:p>
    <w:p w14:paraId="06C1B6E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①开标（报价）一览表内容与电子投标文件中相应内容不一致的，以开标（报价）一览表为准；</w:t>
      </w:r>
    </w:p>
    <w:p w14:paraId="6D6914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②大写金额和小写金额不一致的，以大写金额为准；</w:t>
      </w:r>
    </w:p>
    <w:p w14:paraId="117DBE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③单价金额小数点或百分比有明显错位的，以开标（报价）一览表的总价为准，并修改单价；</w:t>
      </w:r>
    </w:p>
    <w:p w14:paraId="72F088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④总价金额与按照单价汇总金额不一致的，以单价金额计算结果为准。</w:t>
      </w:r>
    </w:p>
    <w:p w14:paraId="3C6EF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DD1EB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（4）关于细微偏差</w:t>
      </w:r>
    </w:p>
    <w:p w14:paraId="148C28F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EDD6C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7AD7037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（5）关于投标描述（即电子投标文件中描述的内容）</w:t>
      </w:r>
    </w:p>
    <w:p w14:paraId="48A42F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①投标描述前后不一致且不涉及证明材料的：按照本章第6.3条第（1）、（2）款规定执行。</w:t>
      </w:r>
    </w:p>
    <w:p w14:paraId="6E443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②投标描述与证明材料不一致或多份证明材料之间不一致的：</w:t>
      </w:r>
    </w:p>
    <w:p w14:paraId="6E6C06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a.评标委员会将要求投标人进行书面澄清，并按照不利于投标人的内容进行评标。</w:t>
      </w:r>
    </w:p>
    <w:p w14:paraId="0D1EFE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D47E9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D24C8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6.4比较与评价</w:t>
      </w:r>
    </w:p>
    <w:p w14:paraId="6C58CC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（1）按照本章第7条载明的评标方法和标准，对符合性审查合格的电子投标文件进行比较与评价。</w:t>
      </w:r>
    </w:p>
    <w:p w14:paraId="095073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（2）关于相同品牌产品（政府采购服务类项目不适用本条款规定）</w:t>
      </w:r>
    </w:p>
    <w:p w14:paraId="3E4E25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8AFDA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655F81D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CFB2C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b.招标文件未规定的，采取随机抽取方式确定，其他投标无效。</w:t>
      </w:r>
    </w:p>
    <w:p w14:paraId="0F0680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22C40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4A76301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613A5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b.招标文件未规定的，采取随机抽取方式确定，其他同品牌投标人不作为中标候选人。</w:t>
      </w:r>
    </w:p>
    <w:p w14:paraId="62801D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③非单一产品采购项目，多家投标人提供的核心产品品牌相同的，按照本章第6.4条第（2）款第①、②规定处理。</w:t>
      </w:r>
    </w:p>
    <w:p w14:paraId="64C3F5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（3）漏（缺）项</w:t>
      </w:r>
    </w:p>
    <w:p w14:paraId="208B33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①招标文件中要求列入报价的费用（含配置、功能），漏（缺）项的报价视为已经包括在投标总价中。</w:t>
      </w:r>
    </w:p>
    <w:p w14:paraId="60F3A5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②对多报项及赠送项的价格评标时不予核减，全部进入评标价评议。</w:t>
      </w:r>
    </w:p>
    <w:p w14:paraId="1DD5486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6.5推荐中标候选人：详见本章第7.2条规定。</w:t>
      </w:r>
    </w:p>
    <w:p w14:paraId="09B082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6.6编写评标报告</w:t>
      </w:r>
    </w:p>
    <w:p w14:paraId="446D034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（1）评标报告由评标委员会负责编写。</w:t>
      </w:r>
    </w:p>
    <w:p w14:paraId="3BB3C1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（2）评标报告应包括下列内容：</w:t>
      </w:r>
    </w:p>
    <w:p w14:paraId="7DA7E2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①招标公告刊登的媒体名称、开标日期和地点；</w:t>
      </w:r>
    </w:p>
    <w:p w14:paraId="6C58FFD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②投标人名单和评标委员会成员名单；</w:t>
      </w:r>
    </w:p>
    <w:p w14:paraId="69BBF9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③评标方法和标准；</w:t>
      </w:r>
    </w:p>
    <w:p w14:paraId="0D44647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④开标记录和评标情况及说明，包括无效投标人名单及原因；</w:t>
      </w:r>
    </w:p>
    <w:p w14:paraId="5EC572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⑤评标结果，包括中标候选人名单或确定的中标人；</w:t>
      </w:r>
    </w:p>
    <w:p w14:paraId="335A94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⑥其他需要说明的情况，包括但不限于：评标过程中投标人的澄清、说明或补正，评委更换等。</w:t>
      </w:r>
    </w:p>
    <w:p w14:paraId="288B29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B2D6A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AC55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6.9在评标过程中发现投标人有下列情形之一的，评标委员会应认定其投标无效，并书面报告本项目监督管理部门：</w:t>
      </w:r>
    </w:p>
    <w:p w14:paraId="1D7B1A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（1）恶意串通（包括但不限于招标文件第三章第9.7条规定情形）；</w:t>
      </w:r>
    </w:p>
    <w:p w14:paraId="3128E7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（2）妨碍其他投标人的竞争行为；</w:t>
      </w:r>
    </w:p>
    <w:p w14:paraId="63C3A7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（3）损害采购人或其他投标人的合法权益。</w:t>
      </w:r>
    </w:p>
    <w:p w14:paraId="7B9353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6.10评标过程中，有下列情形之一的，应予废标：</w:t>
      </w:r>
    </w:p>
    <w:p w14:paraId="7F5DEB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（1）符合性审查合格的投标人不足三家的；</w:t>
      </w:r>
    </w:p>
    <w:p w14:paraId="6EFFD42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（2）有关法律、法规和规章规定废标的情形。</w:t>
      </w:r>
    </w:p>
    <w:p w14:paraId="188764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※若废标，则本次采购活动结束，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118F41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7、评标方法和标准</w:t>
      </w:r>
    </w:p>
    <w:p w14:paraId="2F34C1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7.1评标方法：</w:t>
      </w:r>
    </w:p>
    <w:p w14:paraId="03ED79B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550216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7.2评标标准</w:t>
      </w:r>
    </w:p>
    <w:p w14:paraId="09035E6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2F4807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4690C93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4975DD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6F3EBA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价格项（F1×A1）满分为30.00分</w:t>
      </w:r>
    </w:p>
    <w:p w14:paraId="09363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22994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363A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D011B20">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0087F677">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779F6C49">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63C02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B8B226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4ED5EEA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38E6C60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33F4FBF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971F55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2、投标人应对优先采购产品和非优先采购产品进行分项报价，并单独汇总优先采购产品的总价；若投标人未按要求进行分项报价的，自行承担无法享受价格扣除的不利后果。</w:t>
            </w:r>
          </w:p>
          <w:p w14:paraId="48E86FE6">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3、非优先采购产品、强制类节能产品不享受价格扣除优惠。同一优先采购产品中各认证证书不重复计算价格扣除。</w:t>
            </w:r>
          </w:p>
        </w:tc>
      </w:tr>
    </w:tbl>
    <w:p w14:paraId="48E15A6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0F5FFB05">
      <w:pPr>
        <w:pStyle w:val="54"/>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1FBAF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FABB4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6230D1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5E6E336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305096F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2AC3F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99183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E14BBB0">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3</w:t>
            </w:r>
          </w:p>
        </w:tc>
        <w:tc>
          <w:tcPr>
            <w:tcW w:w="1040" w:type="dxa"/>
            <w:vAlign w:val="center"/>
          </w:tcPr>
          <w:p w14:paraId="79925802">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7B02BDEE">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投标人所投“闸门-止水橡皮”完全符合招标文件第五章3.1.1项下所有要求的得3分，投标人须提供产品彩页或样册或使用手册或技术说明书或产品官网数据截图进行佐证，否则不得分。</w:t>
            </w:r>
          </w:p>
        </w:tc>
      </w:tr>
      <w:tr w14:paraId="5363F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15938B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D38D8C3">
            <w:pPr>
              <w:spacing w:line="360" w:lineRule="auto"/>
              <w:jc w:val="center"/>
              <w:rPr>
                <w:rFonts w:hint="default"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eastAsia="zh-CN"/>
              </w:rPr>
              <w:t>3</w:t>
            </w:r>
          </w:p>
        </w:tc>
        <w:tc>
          <w:tcPr>
            <w:tcW w:w="1040" w:type="dxa"/>
            <w:vAlign w:val="center"/>
          </w:tcPr>
          <w:p w14:paraId="4543F68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34A9A1D2">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门体参数</w:t>
            </w:r>
            <w:r>
              <w:rPr>
                <w:rFonts w:hint="eastAsia" w:asciiTheme="minorEastAsia" w:hAnsiTheme="minorEastAsia"/>
                <w:color w:val="auto"/>
                <w:sz w:val="24"/>
                <w:szCs w:val="24"/>
                <w:highlight w:val="none"/>
                <w:lang w:val="en-US" w:eastAsia="zh-CN"/>
              </w:rPr>
              <w:t>”完全符合招标文件第五章3.1.2项下所有要求的得3分，投标人须提供产品彩页或样册或使用手册或技术说明书或产品官网数据截图进行佐证，否则不得分。</w:t>
            </w:r>
          </w:p>
        </w:tc>
      </w:tr>
      <w:tr w14:paraId="17F76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EE838F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600E05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D8A9B9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5178CC46">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投标人所投“闸门-中间铰支座”完全符合招标文件第五章3.1.3项下所有要求的得3分，投标人须提供产品彩页或样册或使用手册或技术说明书或产品官网数据截图进行佐证，否则不得分。</w:t>
            </w:r>
          </w:p>
        </w:tc>
      </w:tr>
      <w:tr w14:paraId="57C6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7167CF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538DB6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2BD91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196961E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边铰支座</w:t>
            </w:r>
            <w:r>
              <w:rPr>
                <w:rFonts w:hint="eastAsia" w:asciiTheme="minorEastAsia" w:hAnsiTheme="minorEastAsia"/>
                <w:color w:val="auto"/>
                <w:sz w:val="24"/>
                <w:szCs w:val="24"/>
                <w:highlight w:val="none"/>
                <w:lang w:val="en-US" w:eastAsia="zh-CN"/>
              </w:rPr>
              <w:t>”完全符合招标文件第五章3.1.4项下所有要求的得3分，投标人须提供产品彩页或样册或使用手册或技术说明书或产品官网数据截图进行佐证，否则不得分。</w:t>
            </w:r>
          </w:p>
        </w:tc>
      </w:tr>
      <w:tr w14:paraId="69C28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DE96A6A">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935FF0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451EFD7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AE6F48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投标人所投“闸门-穿墙防水套”完全符合招标文件第五章3.1.5项下所有要求的得3分，投标人须提供产品彩页或样册或使用手册或技术说明书或产品官网数据截图进行佐证，否则不得分。</w:t>
            </w:r>
          </w:p>
        </w:tc>
      </w:tr>
      <w:tr w14:paraId="0BF40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30CAEE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97833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455F326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FF4A605">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投标人所投“闸门-地横轴”完全符合招标文件第五章3.1.6项下所有要求的得3分，投标人须提供产品彩页或样册或使用手册或技术说明书或产品官网数据截图进行佐证，否则不得分。</w:t>
            </w:r>
          </w:p>
        </w:tc>
      </w:tr>
      <w:tr w14:paraId="7FF7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4DF3906">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6C194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17CA170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448DBBE8">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投标人所投“闸门-拐臂”完全符合招标文件第五章3.1.7项下所有要求的得3分，投标人须提供产品彩页或样册或使用手册或技术说明书或产品官网数据截图进行佐证，否则不得分。</w:t>
            </w:r>
          </w:p>
        </w:tc>
      </w:tr>
      <w:tr w14:paraId="1DB2C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F048C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5A938F5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337AEBE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59B54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投标人所投“闸门-启闭机”完全符合招标文件第五章3.1.8项下所有要求的得3分，投标人须提供产品彩页或样册或使用手册或技术说明书或产品官网数据截图进行佐证，否则不得分。</w:t>
            </w:r>
          </w:p>
        </w:tc>
      </w:tr>
      <w:tr w14:paraId="571F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076CFB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D8CAA1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84F324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116FC6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自动控制系统</w:t>
            </w:r>
            <w:r>
              <w:rPr>
                <w:rFonts w:hint="eastAsia" w:asciiTheme="minorEastAsia" w:hAnsiTheme="minorEastAsia"/>
                <w:color w:val="auto"/>
                <w:sz w:val="24"/>
                <w:szCs w:val="24"/>
                <w:highlight w:val="none"/>
                <w:lang w:val="en-US" w:eastAsia="zh-CN"/>
              </w:rPr>
              <w:t>”完全符合招标文件第五章3.1.9项下所有要求的得3分，投标人须提供产品彩页或样册或使用手册或技术说明书或产品官网数据截图进行佐证，否则不得分。</w:t>
            </w:r>
          </w:p>
        </w:tc>
      </w:tr>
      <w:tr w14:paraId="71528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5E609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30EE3B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16660BE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6C8B9428">
            <w:pPr>
              <w:spacing w:line="360" w:lineRule="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投标人所投闸门完全符合招标文件第五章3.2</w:t>
            </w:r>
            <w:r>
              <w:rPr>
                <w:rFonts w:hint="eastAsia" w:ascii="宋体" w:hAnsi="宋体" w:eastAsia="宋体"/>
                <w:color w:val="auto"/>
                <w:sz w:val="24"/>
                <w:szCs w:val="28"/>
                <w:highlight w:val="none"/>
                <w:lang w:val="en-US" w:eastAsia="zh-CN"/>
              </w:rPr>
              <w:t>闸门防腐设计</w:t>
            </w:r>
            <w:r>
              <w:rPr>
                <w:rFonts w:hint="eastAsia" w:asciiTheme="minorEastAsia" w:hAnsiTheme="minorEastAsia"/>
                <w:color w:val="auto"/>
                <w:sz w:val="24"/>
                <w:szCs w:val="24"/>
                <w:highlight w:val="none"/>
                <w:lang w:val="en-US" w:eastAsia="zh-CN"/>
              </w:rPr>
              <w:t>项下所有要求的得3分，投标人须提供产品彩页或样册或使用手册或技术说明书或产品官网数据截图进行佐证，否则不得分。</w:t>
            </w:r>
          </w:p>
        </w:tc>
      </w:tr>
      <w:tr w14:paraId="36135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1273B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9D458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41685A6E">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91361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w:t>
            </w:r>
            <w:r>
              <w:rPr>
                <w:rFonts w:hint="eastAsia" w:asciiTheme="minorEastAsia" w:hAnsiTheme="minorEastAsia"/>
                <w:color w:val="auto"/>
                <w:sz w:val="24"/>
                <w:szCs w:val="24"/>
                <w:highlight w:val="none"/>
                <w:lang w:val="en-US" w:eastAsia="zh-CN"/>
              </w:rPr>
              <w:t>针对本项目</w:t>
            </w:r>
            <w:r>
              <w:rPr>
                <w:rFonts w:hint="eastAsia" w:asciiTheme="minorEastAsia" w:hAnsiTheme="minorEastAsia"/>
                <w:color w:val="auto"/>
                <w:sz w:val="24"/>
                <w:szCs w:val="24"/>
                <w:highlight w:val="none"/>
              </w:rPr>
              <w:t>所投电缆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配线</w:t>
            </w:r>
            <w:r>
              <w:rPr>
                <w:rFonts w:hint="eastAsia" w:asciiTheme="minorEastAsia" w:hAnsiTheme="minorEastAsia"/>
                <w:color w:val="auto"/>
                <w:sz w:val="24"/>
                <w:szCs w:val="24"/>
                <w:highlight w:val="none"/>
              </w:rPr>
              <w:t>型号规格符合</w:t>
            </w:r>
            <w:r>
              <w:rPr>
                <w:rFonts w:hint="eastAsia" w:asciiTheme="minorEastAsia" w:hAnsiTheme="minorEastAsia"/>
                <w:color w:val="auto"/>
                <w:sz w:val="24"/>
                <w:szCs w:val="24"/>
                <w:highlight w:val="none"/>
                <w:lang w:val="en-US" w:eastAsia="zh-CN"/>
              </w:rPr>
              <w:t>招标文件要求、</w:t>
            </w:r>
            <w:r>
              <w:rPr>
                <w:rFonts w:hint="eastAsia" w:asciiTheme="minorEastAsia" w:hAnsiTheme="minorEastAsia"/>
                <w:color w:val="auto"/>
                <w:sz w:val="24"/>
                <w:szCs w:val="24"/>
                <w:highlight w:val="none"/>
              </w:rPr>
              <w:t>国家相关标准规范要求</w:t>
            </w:r>
            <w:r>
              <w:rPr>
                <w:rFonts w:hint="eastAsia" w:asciiTheme="minorEastAsia" w:hAnsiTheme="minorEastAsia"/>
                <w:color w:val="auto"/>
                <w:sz w:val="24"/>
                <w:szCs w:val="24"/>
                <w:highlight w:val="none"/>
                <w:lang w:val="en-US" w:eastAsia="zh-CN"/>
              </w:rPr>
              <w:t>的得3分。</w:t>
            </w:r>
            <w:r>
              <w:rPr>
                <w:rFonts w:hint="eastAsia" w:ascii="宋体" w:hAnsi="宋体" w:eastAsia="宋体"/>
                <w:color w:val="auto"/>
                <w:sz w:val="24"/>
                <w:szCs w:val="28"/>
                <w:highlight w:val="none"/>
              </w:rPr>
              <w:t>投标人应提供国家认可的第三方检验（检测）机构出具的相应报告佐证（报告需加盖机构公章或检验检测专用章，并标注资质认定标志CMA或CNAS）</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未按要求提供的不予认可</w:t>
            </w:r>
            <w:r>
              <w:rPr>
                <w:rFonts w:hint="eastAsia" w:asciiTheme="minorEastAsia" w:hAnsiTheme="minorEastAsia"/>
                <w:color w:val="auto"/>
                <w:sz w:val="24"/>
                <w:szCs w:val="24"/>
                <w:highlight w:val="none"/>
                <w:lang w:val="en-US" w:eastAsia="zh-CN"/>
              </w:rPr>
              <w:t>，本项不得分</w:t>
            </w:r>
            <w:r>
              <w:rPr>
                <w:rFonts w:hint="eastAsia" w:asciiTheme="minorEastAsia" w:hAnsiTheme="minorEastAsia"/>
                <w:color w:val="auto"/>
                <w:sz w:val="24"/>
                <w:szCs w:val="24"/>
                <w:highlight w:val="none"/>
              </w:rPr>
              <w:t>。</w:t>
            </w:r>
          </w:p>
        </w:tc>
      </w:tr>
      <w:tr w14:paraId="61BE2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4F3C3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662A544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7DEDEB27">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top"/>
          </w:tcPr>
          <w:p w14:paraId="2A884EA9">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拟投入本项目的项目负责人进行评价：具备</w:t>
            </w:r>
            <w:r>
              <w:rPr>
                <w:rFonts w:hint="eastAsia" w:asciiTheme="minorEastAsia" w:hAnsiTheme="minorEastAsia" w:eastAsiaTheme="minorEastAsia"/>
                <w:bCs/>
                <w:iCs/>
                <w:color w:val="auto"/>
                <w:sz w:val="24"/>
                <w:highlight w:val="none"/>
              </w:rPr>
              <w:t>水利水电工程</w:t>
            </w:r>
            <w:r>
              <w:rPr>
                <w:rFonts w:hint="eastAsia" w:ascii="宋体" w:hAnsi="宋体" w:eastAsia="宋体"/>
                <w:color w:val="auto"/>
                <w:sz w:val="24"/>
                <w:szCs w:val="28"/>
                <w:highlight w:val="none"/>
              </w:rPr>
              <w:t>专业贰级及以上注册执业建造师证书,并持有行政主管部门颁发的安全生产考核合格“B”类证书的得3分。投标人须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注：本项目执行《福建省住房和城乡建设厅关于优化二级建造师电子注册证书样式及证书使用要求的通知》(闽建筑函(2022)33号)和《住房和城乡建设部办公厅关于全面实行一级建造师电子注册证书的通知》(建办市(2021)40 号)规定，未按规定执行，后果由</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自行承担。</w:t>
            </w:r>
          </w:p>
        </w:tc>
      </w:tr>
      <w:tr w14:paraId="0C3C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E820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A7CE9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7EE009A">
            <w:pPr>
              <w:spacing w:line="360" w:lineRule="auto"/>
              <w:jc w:val="center"/>
              <w:rPr>
                <w:rFonts w:hint="default"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08276FEF">
            <w:pPr>
              <w:spacing w:line="360" w:lineRule="auto"/>
              <w:rPr>
                <w:rFonts w:hint="eastAsia"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拟投入本项目的项目负责人进行评价：具备工程类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5A56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3C1A4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7D56A9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30E6D1D4">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471B6EFF">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07603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413D4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5FD84F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1267860D">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448140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提供现场踏勘报告进行评价：①对项目现场情况、设施情况进行分析，提供各种现状的现场照片及文字说明的得2.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分；②在满足①的基础上，对现场存在的问题描述到位，符合现场实际情况并提出相应解决措施，得3分；③未提供或不满足以上要求不得分。</w:t>
            </w:r>
          </w:p>
        </w:tc>
      </w:tr>
      <w:tr w14:paraId="7224B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D7DFB5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03B7EE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519AEC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40333C5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针对本项目提供的施工组织方法进行评价：①有提出施工组织方法，符合本项目要求的得2.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分；②在满足①的基础上，施工组织方法标准、规范，列出施工的重难点，施工方法使本次施工达到设计要求的得3分；③未提供方案且方案不合理的不得分。</w:t>
            </w:r>
          </w:p>
        </w:tc>
      </w:tr>
      <w:tr w14:paraId="2F354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26A58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8C9DD0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72F7027">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22AB37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提供的主要物资（材料）进场安排进行评价：① 有根据本项目施工进度计划，制定相应的物资材料采购计划 ,进场时间顺序安排合理，能够满足施工进度的得2.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分；②在满足①的基础上，有结合现场实际，考虑物资材料堆放、加工地点、施工进度，合理安排进场时间，确保不会占用其他场地，确保现场不会混杂凌乱的得3分。③未提供或不符合上述要求的不得分。</w:t>
            </w:r>
          </w:p>
        </w:tc>
      </w:tr>
      <w:tr w14:paraId="576C0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28CB4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196A48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156BA3F1">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127DEA7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提供的施工进度表或工期网络计划进行评价：① 有根据本项目工期要求，制定施工进度表或工期网络计划，各分部工程进度安排合理有序，能够确保按期完工的得</w:t>
            </w:r>
            <w:r>
              <w:rPr>
                <w:rFonts w:hint="eastAsia" w:asciiTheme="minorEastAsia" w:hAnsiTheme="minorEastAsia"/>
                <w:color w:val="auto"/>
                <w:sz w:val="24"/>
                <w:szCs w:val="24"/>
                <w:highlight w:val="none"/>
                <w:lang w:val="en-US" w:eastAsia="zh-CN"/>
              </w:rPr>
              <w:t>1.4</w:t>
            </w:r>
            <w:r>
              <w:rPr>
                <w:rFonts w:hint="eastAsia" w:asciiTheme="minorEastAsia" w:hAnsiTheme="minorEastAsia"/>
                <w:color w:val="auto"/>
                <w:sz w:val="24"/>
                <w:szCs w:val="24"/>
                <w:highlight w:val="none"/>
              </w:rPr>
              <w:t>分；②在满足①的基础上，有考虑各工序间的衔接，突发意外情况 （如台风、停水停电等情况）的停工及赶工，并制定相应的工期保障及赶工计划得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分。③未提供或不符合上述要求的不得分。</w:t>
            </w:r>
          </w:p>
        </w:tc>
      </w:tr>
      <w:tr w14:paraId="27BD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FCFFAD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34D4513">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18EBC5C">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BE9C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提供的现场施工中遇到突发事件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台风、</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暴雨、</w:t>
            </w:r>
            <w:r>
              <w:rPr>
                <w:rFonts w:hint="eastAsia" w:asciiTheme="minorEastAsia" w:hAnsiTheme="minorEastAsia"/>
                <w:color w:val="auto"/>
                <w:sz w:val="24"/>
                <w:szCs w:val="24"/>
                <w:highlight w:val="none"/>
                <w:lang w:val="en-US" w:eastAsia="zh-CN"/>
              </w:rPr>
              <w:t>防汛</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的应急措施进行评价：①有提供应急措施，措施能降低事件风险的得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分；②在满足①的基础上，针对本项目所涉及突发、应急事件等制定相应的工期保障及赶工计划，事件能得到有效控制的得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分；③未提供相关方案阐述或方案阐述内容不符合上述标准的不得分。</w:t>
            </w:r>
          </w:p>
        </w:tc>
      </w:tr>
    </w:tbl>
    <w:p w14:paraId="1D502E8F">
      <w:pPr>
        <w:pStyle w:val="54"/>
        <w:widowControl w:val="0"/>
        <w:spacing w:line="360" w:lineRule="auto"/>
        <w:rPr>
          <w:rFonts w:hint="default" w:asciiTheme="minorEastAsia" w:hAnsiTheme="minorEastAsia"/>
          <w:color w:val="auto"/>
          <w:sz w:val="24"/>
          <w:szCs w:val="24"/>
          <w:highlight w:val="none"/>
        </w:rPr>
      </w:pPr>
    </w:p>
    <w:p w14:paraId="25B3F43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商务项（F3×A3）满分为15.00分</w:t>
      </w:r>
    </w:p>
    <w:tbl>
      <w:tblPr>
        <w:tblStyle w:val="17"/>
        <w:tblW w:w="93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1080"/>
        <w:gridCol w:w="1524"/>
        <w:gridCol w:w="5844"/>
      </w:tblGrid>
      <w:tr w14:paraId="2DB7C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783DF67C">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1080" w:type="dxa"/>
            <w:vAlign w:val="center"/>
          </w:tcPr>
          <w:p w14:paraId="369B918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1524" w:type="dxa"/>
            <w:vAlign w:val="center"/>
          </w:tcPr>
          <w:p w14:paraId="67F085B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是否客观项</w:t>
            </w:r>
          </w:p>
        </w:tc>
        <w:tc>
          <w:tcPr>
            <w:tcW w:w="5844" w:type="dxa"/>
            <w:vAlign w:val="center"/>
          </w:tcPr>
          <w:p w14:paraId="41A16A8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描述</w:t>
            </w:r>
          </w:p>
        </w:tc>
      </w:tr>
      <w:tr w14:paraId="63882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04AF3CC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80" w:type="dxa"/>
            <w:shd w:val="clear" w:color="auto" w:fill="auto"/>
            <w:vAlign w:val="center"/>
          </w:tcPr>
          <w:p w14:paraId="1B54C16A">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3B4D0DF">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6F1699D9">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具有质量管理体系认证且在有效期内的得1分，须提供有效期内的认证证书扫描件，否则不得分。</w:t>
            </w:r>
          </w:p>
        </w:tc>
      </w:tr>
      <w:tr w14:paraId="2169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9EA000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2-2</w:t>
            </w:r>
          </w:p>
        </w:tc>
        <w:tc>
          <w:tcPr>
            <w:tcW w:w="1080" w:type="dxa"/>
            <w:shd w:val="clear" w:color="auto" w:fill="auto"/>
            <w:vAlign w:val="center"/>
          </w:tcPr>
          <w:p w14:paraId="3AE9B7A3">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42C7D74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158E2FF1">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具有环境管理体系认证且在有效期内的得1分，须提供有效期内的认证证书扫描件，否则不得分。</w:t>
            </w:r>
          </w:p>
        </w:tc>
      </w:tr>
      <w:tr w14:paraId="09205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65E98CF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2-3</w:t>
            </w:r>
          </w:p>
        </w:tc>
        <w:tc>
          <w:tcPr>
            <w:tcW w:w="1080" w:type="dxa"/>
            <w:shd w:val="clear" w:color="auto" w:fill="auto"/>
            <w:vAlign w:val="center"/>
          </w:tcPr>
          <w:p w14:paraId="1587EA34">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0DEA8E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5672EE9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具有职业健康安全管理体系认证且在有效期内的得1分，须提供有效期内的认证证书扫描件，否则不得分。</w:t>
            </w:r>
          </w:p>
        </w:tc>
      </w:tr>
      <w:tr w14:paraId="55C01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5ECBC6B3">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2-4</w:t>
            </w:r>
          </w:p>
        </w:tc>
        <w:tc>
          <w:tcPr>
            <w:tcW w:w="1080" w:type="dxa"/>
            <w:shd w:val="clear" w:color="auto" w:fill="auto"/>
            <w:vAlign w:val="center"/>
          </w:tcPr>
          <w:p w14:paraId="2B33EBEC">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1.00</w:t>
            </w:r>
          </w:p>
        </w:tc>
        <w:tc>
          <w:tcPr>
            <w:tcW w:w="1524" w:type="dxa"/>
            <w:shd w:val="clear" w:color="auto" w:fill="auto"/>
            <w:vAlign w:val="center"/>
          </w:tcPr>
          <w:p w14:paraId="0B54605A">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是</w:t>
            </w:r>
          </w:p>
        </w:tc>
        <w:tc>
          <w:tcPr>
            <w:tcW w:w="5844" w:type="dxa"/>
            <w:shd w:val="clear" w:color="auto" w:fill="auto"/>
            <w:vAlign w:val="top"/>
          </w:tcPr>
          <w:p w14:paraId="6C4B87EF">
            <w:pPr>
              <w:pStyle w:val="54"/>
              <w:jc w:val="left"/>
              <w:rPr>
                <w:rFonts w:hint="eastAsia" w:eastAsia="宋体" w:asciiTheme="minorEastAsia" w:hAnsiTheme="minorEastAsia" w:cstheme="minorEastAsia"/>
                <w:color w:val="auto"/>
                <w:sz w:val="24"/>
                <w:szCs w:val="24"/>
                <w:highlight w:val="none"/>
                <w:lang w:val="en-US" w:eastAsia="zh-CN" w:bidi="ar-SA"/>
              </w:rPr>
            </w:pPr>
            <w:r>
              <w:rPr>
                <w:rFonts w:hint="eastAsia" w:ascii="宋体" w:hAnsi="宋体" w:eastAsia="宋体" w:cs="宋体"/>
                <w:color w:val="auto"/>
                <w:sz w:val="24"/>
                <w:szCs w:val="24"/>
                <w:lang w:val="en-US" w:eastAsia="zh-CN"/>
              </w:rPr>
              <w:t>投标人具有</w:t>
            </w:r>
            <w:r>
              <w:rPr>
                <w:rFonts w:hint="eastAsia" w:ascii="宋体" w:hAnsi="宋体" w:eastAsia="宋体" w:cs="宋体"/>
                <w:color w:val="auto"/>
                <w:sz w:val="24"/>
                <w:szCs w:val="24"/>
              </w:rPr>
              <w:t>水工金属结构防腐蚀专业施工能力</w:t>
            </w:r>
            <w:r>
              <w:rPr>
                <w:rFonts w:hint="eastAsia" w:ascii="宋体" w:hAnsi="宋体" w:eastAsia="宋体" w:cs="宋体"/>
                <w:color w:val="auto"/>
                <w:sz w:val="24"/>
                <w:szCs w:val="24"/>
                <w:lang w:val="en-US" w:eastAsia="zh-CN"/>
              </w:rPr>
              <w:t>认证证书的得1分，</w:t>
            </w:r>
            <w:r>
              <w:rPr>
                <w:rFonts w:hint="eastAsia" w:asciiTheme="minorEastAsia" w:hAnsiTheme="minorEastAsia" w:eastAsiaTheme="minorEastAsia" w:cstheme="minorEastAsia"/>
                <w:color w:val="auto"/>
                <w:sz w:val="24"/>
                <w:szCs w:val="24"/>
                <w:highlight w:val="none"/>
              </w:rPr>
              <w:t>须提供有效期内的认证证书扫描件，否则不得分。</w:t>
            </w:r>
          </w:p>
        </w:tc>
      </w:tr>
      <w:tr w14:paraId="19066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0CD6B09">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2-5</w:t>
            </w:r>
          </w:p>
        </w:tc>
        <w:tc>
          <w:tcPr>
            <w:tcW w:w="1080" w:type="dxa"/>
            <w:shd w:val="clear" w:color="auto" w:fill="auto"/>
            <w:vAlign w:val="center"/>
          </w:tcPr>
          <w:p w14:paraId="43232E33">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2EC71170">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4DAA4D0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承诺</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后为投入本项目的施工人员购买意外险及雇主责任险（保险期限至少包含整个项目工期，且保额不低于150万元/人）的得3分。需提供承诺函（格式自拟），否则不得分。</w:t>
            </w:r>
          </w:p>
        </w:tc>
      </w:tr>
      <w:tr w14:paraId="26545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14C01B5C">
            <w:pPr>
              <w:pStyle w:val="54"/>
              <w:jc w:val="center"/>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2-6</w:t>
            </w:r>
          </w:p>
        </w:tc>
        <w:tc>
          <w:tcPr>
            <w:tcW w:w="1080" w:type="dxa"/>
            <w:shd w:val="clear" w:color="auto" w:fill="auto"/>
            <w:vAlign w:val="center"/>
          </w:tcPr>
          <w:p w14:paraId="15B6A392">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5D008441">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0E06AF98">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可提供本地化服务的得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分，否则不得分。</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可提供合作单位协议或者自身机构的营业执照证明，也可以提供在项目所在地设立的项目部、办公室、办事处等机构证明，或者承诺成交后提供本地化服务。</w:t>
            </w:r>
          </w:p>
        </w:tc>
      </w:tr>
      <w:tr w14:paraId="1F64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11695A11">
            <w:pPr>
              <w:pStyle w:val="54"/>
              <w:jc w:val="center"/>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2-7</w:t>
            </w:r>
          </w:p>
        </w:tc>
        <w:tc>
          <w:tcPr>
            <w:tcW w:w="1080" w:type="dxa"/>
            <w:shd w:val="clear" w:color="auto" w:fill="auto"/>
            <w:vAlign w:val="center"/>
          </w:tcPr>
          <w:p w14:paraId="7B47470F">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.00</w:t>
            </w:r>
          </w:p>
        </w:tc>
        <w:tc>
          <w:tcPr>
            <w:tcW w:w="1524" w:type="dxa"/>
            <w:shd w:val="clear" w:color="auto" w:fill="auto"/>
            <w:vAlign w:val="center"/>
          </w:tcPr>
          <w:p w14:paraId="70597C37">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是</w:t>
            </w:r>
          </w:p>
        </w:tc>
        <w:tc>
          <w:tcPr>
            <w:tcW w:w="5844" w:type="dxa"/>
            <w:shd w:val="clear" w:color="auto" w:fill="auto"/>
            <w:vAlign w:val="top"/>
          </w:tcPr>
          <w:p w14:paraId="5C1B93E4">
            <w:pPr>
              <w:pStyle w:val="54"/>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根据投标人提供的售后维护的响应计划进行评价： （1）如设备遇到故障，投标人承诺能在1小时之内电话响应，4小时内赶到现场，12小时之内修复设备或是更换无法修复的设备得</w:t>
            </w:r>
            <w:r>
              <w:rPr>
                <w:rFonts w:hint="eastAsia" w:asciiTheme="minorEastAsia" w:hAnsi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bidi="ar-SA"/>
              </w:rPr>
              <w:t>分。（2）如设备遇到故障，投标人承诺能在1小时之内电话响应，2小时内赶到现场，8小时之内修复设备或是更换无法修复的设备得</w:t>
            </w: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分。其它情况得1分。注：投标人须提供售后承诺书，未提供不得分</w:t>
            </w:r>
          </w:p>
        </w:tc>
      </w:tr>
      <w:tr w14:paraId="0131B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1CDD253E">
            <w:pPr>
              <w:pStyle w:val="54"/>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2-8</w:t>
            </w:r>
          </w:p>
        </w:tc>
        <w:tc>
          <w:tcPr>
            <w:tcW w:w="1080" w:type="dxa"/>
            <w:vAlign w:val="center"/>
          </w:tcPr>
          <w:p w14:paraId="12A703A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3.00</w:t>
            </w:r>
          </w:p>
        </w:tc>
        <w:tc>
          <w:tcPr>
            <w:tcW w:w="1524" w:type="dxa"/>
            <w:vAlign w:val="center"/>
          </w:tcPr>
          <w:p w14:paraId="771FB321">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tc>
        <w:tc>
          <w:tcPr>
            <w:tcW w:w="5844" w:type="dxa"/>
          </w:tcPr>
          <w:p w14:paraId="58415656">
            <w:pPr>
              <w:pStyle w:val="5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根据202</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年1月1日（以合同签订时间为准）以来的类似业绩进行评价：每个业绩得1分，满分3分。 注：（1）类似业绩是指：投标人</w:t>
            </w:r>
            <w:r>
              <w:rPr>
                <w:rFonts w:hint="eastAsia" w:asciiTheme="minorEastAsia" w:hAnsiTheme="minorEastAsia" w:cstheme="minorEastAsia"/>
                <w:color w:val="auto"/>
                <w:sz w:val="24"/>
                <w:szCs w:val="24"/>
                <w:highlight w:val="none"/>
                <w:lang w:val="en-US" w:eastAsia="zh-CN"/>
              </w:rPr>
              <w:t>所承接的水闸改建项目</w:t>
            </w:r>
            <w:r>
              <w:rPr>
                <w:rFonts w:hint="eastAsia" w:asciiTheme="minorEastAsia" w:hAnsiTheme="minorEastAsia" w:eastAsiaTheme="minorEastAsia" w:cstheme="minorEastAsia"/>
                <w:color w:val="auto"/>
                <w:sz w:val="24"/>
                <w:szCs w:val="24"/>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10560E54">
      <w:pPr>
        <w:pStyle w:val="54"/>
        <w:widowControl w:val="0"/>
        <w:spacing w:line="360" w:lineRule="auto"/>
        <w:rPr>
          <w:rFonts w:hint="default" w:asciiTheme="minorEastAsia" w:hAnsiTheme="minorEastAsia"/>
          <w:color w:val="auto"/>
          <w:sz w:val="24"/>
          <w:szCs w:val="24"/>
          <w:highlight w:val="none"/>
        </w:rPr>
      </w:pPr>
    </w:p>
    <w:p w14:paraId="7FDCF66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49AB79E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77FC37A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48990D8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25BADCD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8、其他规定</w:t>
      </w:r>
    </w:p>
    <w:p w14:paraId="650938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8.1评标应全程保密且不得透露给任一投标人或与评标工作无关的人员。</w:t>
      </w:r>
    </w:p>
    <w:p w14:paraId="33C10B0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8.2评标将进行全程实时录音录像，录音录像资</w:t>
      </w:r>
      <w:bookmarkStart w:id="34" w:name="_GoBack"/>
      <w:bookmarkEnd w:id="34"/>
      <w:r>
        <w:rPr>
          <w:rFonts w:asciiTheme="minorEastAsia" w:hAnsiTheme="minorEastAsia"/>
          <w:color w:val="auto"/>
          <w:sz w:val="24"/>
          <w:szCs w:val="24"/>
          <w:highlight w:val="none"/>
        </w:rPr>
        <w:t>料随采购文件一并存档。</w:t>
      </w:r>
    </w:p>
    <w:p w14:paraId="14289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8.3若投标人有任何试图干扰具体评标事务，影响评标委员会独立履行职责的行为，其投标无效且不予退还投标保证金。情节严重的，由财政部门列入不良行为记录。</w:t>
      </w:r>
    </w:p>
    <w:p w14:paraId="7899CDC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8.4其他：无</w:t>
      </w:r>
    </w:p>
    <w:p w14:paraId="255D49BC">
      <w:pPr>
        <w:rPr>
          <w:color w:val="auto"/>
          <w:highlight w:val="none"/>
        </w:rPr>
        <w:sectPr>
          <w:pgSz w:w="11906" w:h="16838"/>
          <w:pgMar w:top="1418" w:right="1418" w:bottom="1418" w:left="1418" w:header="851" w:footer="992" w:gutter="0"/>
          <w:cols w:space="425" w:num="1"/>
          <w:docGrid w:type="lines" w:linePitch="312" w:charSpace="0"/>
        </w:sectPr>
      </w:pPr>
    </w:p>
    <w:p w14:paraId="3378E06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8" w:name="_Toc139103822"/>
      <w:r>
        <w:rPr>
          <w:rFonts w:ascii="黑体" w:hAnsi="黑体" w:eastAsia="黑体" w:cs="Times New Roman"/>
          <w:color w:val="auto"/>
          <w:kern w:val="0"/>
          <w:sz w:val="32"/>
          <w:szCs w:val="44"/>
          <w:highlight w:val="none"/>
        </w:rPr>
        <w:t>第五章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招标内容及要求</w:t>
      </w:r>
      <w:bookmarkEnd w:id="18"/>
    </w:p>
    <w:p w14:paraId="2321CF13">
      <w:pPr>
        <w:pStyle w:val="3"/>
        <w:spacing w:beforeLines="100" w:afterLines="100" w:line="240" w:lineRule="auto"/>
        <w:jc w:val="left"/>
        <w:rPr>
          <w:rFonts w:ascii="黑体" w:hAnsi="黑体" w:eastAsia="黑体" w:cs="Times New Roman"/>
          <w:color w:val="auto"/>
          <w:kern w:val="0"/>
          <w:sz w:val="30"/>
          <w:highlight w:val="none"/>
        </w:rPr>
      </w:pPr>
      <w:bookmarkStart w:id="19" w:name="_Toc139103823"/>
      <w:r>
        <w:rPr>
          <w:rFonts w:ascii="黑体" w:hAnsi="黑体" w:eastAsia="黑体" w:cs="Times New Roman"/>
          <w:color w:val="auto"/>
          <w:kern w:val="0"/>
          <w:sz w:val="30"/>
          <w:highlight w:val="none"/>
        </w:rPr>
        <w:t>一、项目概况（采购标的）</w:t>
      </w:r>
      <w:bookmarkEnd w:id="19"/>
    </w:p>
    <w:p w14:paraId="68F87A97">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项目概况</w:t>
      </w:r>
    </w:p>
    <w:p w14:paraId="27C5AF2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rPr>
        <w:t>本项目为</w:t>
      </w:r>
      <w:r>
        <w:rPr>
          <w:rFonts w:hint="eastAsia" w:ascii="宋体" w:hAnsi="宋体" w:eastAsia="宋体"/>
          <w:b w:val="0"/>
          <w:bCs/>
          <w:color w:val="auto"/>
          <w:sz w:val="24"/>
          <w:szCs w:val="24"/>
          <w:highlight w:val="none"/>
          <w:lang w:eastAsia="zh-CN"/>
        </w:rPr>
        <w:t>厦门市同安区五显镇人民政府</w:t>
      </w:r>
      <w:r>
        <w:rPr>
          <w:rFonts w:hint="eastAsia" w:ascii="宋体" w:hAnsi="宋体" w:eastAsia="宋体"/>
          <w:b w:val="0"/>
          <w:bCs/>
          <w:color w:val="auto"/>
          <w:sz w:val="24"/>
          <w:szCs w:val="24"/>
          <w:highlight w:val="none"/>
        </w:rPr>
        <w:t>的</w:t>
      </w:r>
      <w:r>
        <w:rPr>
          <w:rFonts w:hint="eastAsia" w:ascii="宋体" w:hAnsi="宋体" w:eastAsia="宋体"/>
          <w:b w:val="0"/>
          <w:bCs/>
          <w:color w:val="auto"/>
          <w:sz w:val="24"/>
          <w:szCs w:val="24"/>
          <w:highlight w:val="none"/>
          <w:lang w:eastAsia="zh-CN"/>
        </w:rPr>
        <w:t>东溪上峰水闸重建工程</w:t>
      </w:r>
      <w:r>
        <w:rPr>
          <w:rFonts w:hint="eastAsia" w:ascii="宋体" w:hAnsi="宋体" w:eastAsia="宋体"/>
          <w:b w:val="0"/>
          <w:bCs/>
          <w:color w:val="auto"/>
          <w:sz w:val="24"/>
          <w:szCs w:val="24"/>
          <w:highlight w:val="none"/>
        </w:rPr>
        <w:t>项目，</w:t>
      </w:r>
      <w:r>
        <w:rPr>
          <w:rFonts w:hint="eastAsia" w:ascii="宋体" w:hAnsi="宋体" w:eastAsia="宋体"/>
          <w:b w:val="0"/>
          <w:bCs/>
          <w:color w:val="auto"/>
          <w:sz w:val="24"/>
          <w:szCs w:val="24"/>
          <w:highlight w:val="none"/>
          <w:lang w:val="en-US" w:eastAsia="zh-CN"/>
        </w:rPr>
        <w:t>拟确定1位中标人承接本项目。</w:t>
      </w:r>
    </w:p>
    <w:p w14:paraId="570E969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本次招标为整体采购的交钥匙项目。要求各投标人提供材料、设备、安装、施工等符合国家、行业相关标准，具备相应能力，并提供相应的完善配套服务。</w:t>
      </w:r>
    </w:p>
    <w:p w14:paraId="13F15D3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本项目提供附件施工图纸作为招标文件的组成部分，各投标人应详细阅读理解施工图纸，中标后按照图纸要求进行施工。因施工图纸未完全反应施工量，投标人应根据采购人的实际要求及现场踏勘结果进行报价，报价应包含所有遗漏项目的一切费用。中标后不再因任何原因进行调整。</w:t>
      </w:r>
    </w:p>
    <w:p w14:paraId="1CA47687">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采购清单</w:t>
      </w:r>
    </w:p>
    <w:p w14:paraId="46780F8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设备部分清单</w:t>
      </w:r>
    </w:p>
    <w:tbl>
      <w:tblPr>
        <w:tblStyle w:val="17"/>
        <w:tblW w:w="8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209"/>
        <w:gridCol w:w="5548"/>
        <w:gridCol w:w="591"/>
        <w:gridCol w:w="963"/>
      </w:tblGrid>
      <w:tr w14:paraId="4B0A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643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73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 称</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5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主要技术要求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99F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34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14:paraId="6237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E50A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一、水闸工程</w:t>
            </w:r>
          </w:p>
        </w:tc>
      </w:tr>
      <w:tr w14:paraId="5BF9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D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6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翻板闸</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7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1.尺寸：45.0m宽×3m高，驱动装置：YJQ-2X1600KN-3.7m，驱动装置功率：2X25KW，电气控制柜1800x800x600（含门叶、底轴、支铰座、穿墙套、拐臂、底止水、侧止水、搁门器、液压启闭机等）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6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D9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r>
      <w:tr w14:paraId="1C84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7C5F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二、电气工程</w:t>
            </w:r>
          </w:p>
        </w:tc>
      </w:tr>
      <w:tr w14:paraId="73DC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3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5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9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1.名称:液压泵电源线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2.型号:YJV-0.6/1kV,5x16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0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B7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143.50 </w:t>
            </w:r>
          </w:p>
        </w:tc>
      </w:tr>
      <w:tr w14:paraId="38F7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1B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7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13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1.名称:外电线缆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2.型号:YJV22-15/8.7KV-3*70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5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7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615.00 </w:t>
            </w:r>
          </w:p>
        </w:tc>
      </w:tr>
      <w:tr w14:paraId="78C7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EC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A8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E7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1.型号:YJV-0.6/1-3x2.5mm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0A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5F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71.24 </w:t>
            </w:r>
          </w:p>
        </w:tc>
      </w:tr>
      <w:tr w14:paraId="50AC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F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36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7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1.型号:YJV-0.6/1.0kV-5x4mm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9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3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71.24 </w:t>
            </w:r>
          </w:p>
        </w:tc>
      </w:tr>
      <w:tr w14:paraId="62C5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B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4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35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1.名称:液压泵馈信号线、堰门反馈信号线 KVVP-7*1.0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3E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8A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287.00 </w:t>
            </w:r>
          </w:p>
        </w:tc>
      </w:tr>
      <w:tr w14:paraId="1725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83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E27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1.名称:液位计信号线 DJYVP-2x2x1.0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54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7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61.50 </w:t>
            </w:r>
          </w:p>
        </w:tc>
      </w:tr>
      <w:tr w14:paraId="3483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2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5B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1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1.名称:摄像头信号线 UTP6+RVV2*1.5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EF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E3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153.75</w:t>
            </w:r>
          </w:p>
        </w:tc>
      </w:tr>
      <w:tr w14:paraId="396E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A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0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9F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2.规格:SC50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B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4F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140.00 </w:t>
            </w:r>
          </w:p>
        </w:tc>
      </w:tr>
      <w:tr w14:paraId="684D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8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FE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65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1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30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499.50 </w:t>
            </w:r>
          </w:p>
        </w:tc>
      </w:tr>
      <w:tr w14:paraId="287D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A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5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3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F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69.50 </w:t>
            </w:r>
          </w:p>
        </w:tc>
      </w:tr>
      <w:tr w14:paraId="0D92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9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2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C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1.名称:聚丙乙烯波纹管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2.规格:DN150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3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E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r>
      <w:tr w14:paraId="445F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35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23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55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1.名称:PVC管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E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C3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431B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7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6D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干式变压器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8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1.名称:室外箱变 D/Yn11-10/0.4 Uk=4%,S20-M-160kVA,304不锈钢,IP33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C3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3A3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3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76D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负控终端</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B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1.负控终端 AC220V</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CA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F2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F60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0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A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A2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1.UPS AC220V,在线式,1000VA,2h</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B2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1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49D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8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CD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C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1.名称:接地扁钢 热镀锌,50*5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8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4F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870</w:t>
            </w:r>
          </w:p>
        </w:tc>
      </w:tr>
      <w:tr w14:paraId="0480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F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97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接地极</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C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1.名称:垂直接地体 φ25x2500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3B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2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2211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40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32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接地装置调试</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E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1.接地系统调试 接地网</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F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10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163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7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5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照明开关</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E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1.名称:单级开关 250V,10A</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EA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D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40D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5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5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景观照明灯</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91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1.名称:防水壁灯 LED,9W,C025PXYA、防水型IP54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A3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B0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9FD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D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D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液位计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9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1.名称:超声波液位计 L=O~10m,4~20mA输出220VAC供电,防护等级IP68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4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6D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1C7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32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D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监控摄像机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34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1.类型:网络高清摄像机 200万像素,分辨率:1920*1080（含摄像头安装支架、杆件 不锈钢等）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4B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D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3CD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A9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B0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77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1.名称:监控箱 不锈钢,IP65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0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15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C77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25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15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避雷器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65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1.电源网络二合一避雷器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4D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6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1AAD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6D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0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10kV电缆头</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AB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1.10kV电缆头 户外冷缩适用于3x70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BE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C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E25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D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C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电缆上杆保护管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AFB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1.电缆上杆保护管 φ100x2500（含抱箍 φ100、电缆上杆抱箍）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F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15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E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D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A03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1.3KVA,60min</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C1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8F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F7E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C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50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模块</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8E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1.SCADA远程通信模块 GPRS无线发送模块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29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F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D70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D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D0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B1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1.工业交换机(路由器) 8口</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E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E16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C4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53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转换器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3C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1.光纤及光电转换器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A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49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21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7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91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SIM卡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E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1.SIM卡 GPRS数据流量5G/month(数据卡)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1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2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0C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3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7F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9A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1.单模6芯,铠装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0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47FC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3E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BE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录像机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E4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1.8路硬盘录像机 2盘位,8T硬盘2块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40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CB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56D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A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D7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3F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1.名称:CPVC管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2.规格:DN32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D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5E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2D7B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3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CA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防火墙</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39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1.防火墙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2E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5F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91B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B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AF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B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1.闸室控制管理软件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EE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45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D91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5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A1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DD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1.PLC 可编程控制器 DI=32 DO=16 AI=8 AO=0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7E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CC5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57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1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箱变围网</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4AE">
            <w:pPr>
              <w:jc w:val="left"/>
              <w:rPr>
                <w:rFonts w:hint="eastAsia" w:ascii="宋体" w:hAnsi="宋体" w:eastAsia="宋体" w:cs="宋体"/>
                <w:i w:val="0"/>
                <w:iCs w:val="0"/>
                <w:color w:val="auto"/>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29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E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14:paraId="5AC7670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土建部分清单：具体详见本招标文件所提供附件《工程量清单》。</w:t>
      </w:r>
    </w:p>
    <w:p w14:paraId="1A0425DA">
      <w:pPr>
        <w:pStyle w:val="3"/>
        <w:spacing w:beforeLines="100" w:afterLines="100" w:line="240" w:lineRule="auto"/>
        <w:jc w:val="left"/>
        <w:rPr>
          <w:rFonts w:ascii="黑体" w:hAnsi="黑体" w:eastAsia="黑体" w:cs="Times New Roman"/>
          <w:color w:val="auto"/>
          <w:kern w:val="0"/>
          <w:sz w:val="30"/>
          <w:highlight w:val="none"/>
        </w:rPr>
      </w:pPr>
      <w:bookmarkStart w:id="20" w:name="_Toc139103824"/>
      <w:r>
        <w:rPr>
          <w:rFonts w:ascii="黑体" w:hAnsi="黑体" w:eastAsia="黑体" w:cs="Times New Roman"/>
          <w:color w:val="auto"/>
          <w:kern w:val="0"/>
          <w:sz w:val="30"/>
          <w:highlight w:val="none"/>
        </w:rPr>
        <w:t>二、技术和服务要求</w:t>
      </w:r>
      <w:bookmarkEnd w:id="20"/>
    </w:p>
    <w:p w14:paraId="5E027ABD">
      <w:pPr>
        <w:rPr>
          <w:rFonts w:asciiTheme="minorEastAsia" w:hAnsiTheme="minorEastAsia"/>
          <w:color w:val="auto"/>
          <w:sz w:val="28"/>
          <w:szCs w:val="28"/>
          <w:highlight w:val="none"/>
        </w:rPr>
      </w:pPr>
      <w:r>
        <w:rPr>
          <w:rFonts w:asciiTheme="minorEastAsia" w:hAnsiTheme="minorEastAsia"/>
          <w:color w:val="auto"/>
          <w:sz w:val="28"/>
          <w:szCs w:val="28"/>
          <w:highlight w:val="none"/>
        </w:rPr>
        <w:t>（以“</w:t>
      </w:r>
      <w:r>
        <w:rPr>
          <w:rFonts w:hint="eastAsia" w:cs="宋体" w:asciiTheme="minorEastAsia" w:hAnsiTheme="minorEastAsia"/>
          <w:color w:val="auto"/>
          <w:sz w:val="28"/>
          <w:szCs w:val="28"/>
          <w:highlight w:val="none"/>
        </w:rPr>
        <w:t>★</w:t>
      </w:r>
      <w:r>
        <w:rPr>
          <w:rFonts w:cs="Calibri" w:asciiTheme="minorEastAsia" w:hAnsiTheme="minorEastAsia"/>
          <w:color w:val="auto"/>
          <w:sz w:val="28"/>
          <w:szCs w:val="28"/>
          <w:highlight w:val="none"/>
        </w:rPr>
        <w:t>”</w:t>
      </w:r>
      <w:r>
        <w:rPr>
          <w:rFonts w:asciiTheme="minorEastAsia" w:hAnsiTheme="minorEastAsia"/>
          <w:color w:val="auto"/>
          <w:sz w:val="28"/>
          <w:szCs w:val="28"/>
          <w:highlight w:val="none"/>
        </w:rPr>
        <w:t>标示的内容为不允许负偏离的实质性要求）</w:t>
      </w:r>
    </w:p>
    <w:p w14:paraId="4C6D8453">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产品</w:t>
      </w:r>
      <w:r>
        <w:rPr>
          <w:rFonts w:hint="eastAsia" w:ascii="宋体" w:hAnsi="宋体" w:eastAsia="宋体"/>
          <w:b/>
          <w:color w:val="auto"/>
          <w:sz w:val="28"/>
          <w:szCs w:val="28"/>
          <w:highlight w:val="none"/>
        </w:rPr>
        <w:t>技术参数要求</w:t>
      </w:r>
    </w:p>
    <w:p w14:paraId="7B6D73F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闸门组成材料</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钢坝闸采用钢结构门体，包括:门叶结构、支结构、底轴、支铰装置、穿墙防水套和止水。</w:t>
      </w:r>
    </w:p>
    <w:p w14:paraId="412AE7E6">
      <w:pPr>
        <w:pStyle w:val="46"/>
        <w:numPr>
          <w:ilvl w:val="2"/>
          <w:numId w:val="2"/>
        </w:numPr>
        <w:tabs>
          <w:tab w:val="left" w:pos="993"/>
        </w:tabs>
        <w:spacing w:line="360" w:lineRule="auto"/>
        <w:ind w:left="0" w:leftChars="0" w:firstLine="709"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止水橡皮</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止水橡皮的物理机械性能应符合 GBT14173-2008 相关条文规定，止水橡皮成品的表面应光滑平整，尺寸符合图纸要求。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388"/>
        <w:gridCol w:w="2686"/>
      </w:tblGrid>
      <w:tr w14:paraId="00C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22047A73">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3388" w:type="dxa"/>
            <w:noWrap w:val="0"/>
            <w:vAlign w:val="center"/>
          </w:tcPr>
          <w:p w14:paraId="7604F44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指标名称</w:t>
            </w:r>
          </w:p>
        </w:tc>
        <w:tc>
          <w:tcPr>
            <w:tcW w:w="2686" w:type="dxa"/>
            <w:noWrap w:val="0"/>
            <w:vAlign w:val="center"/>
          </w:tcPr>
          <w:p w14:paraId="58EEFF9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指标值</w:t>
            </w:r>
          </w:p>
        </w:tc>
      </w:tr>
      <w:tr w14:paraId="02AA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4576944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3388" w:type="dxa"/>
            <w:noWrap w:val="0"/>
            <w:vAlign w:val="top"/>
          </w:tcPr>
          <w:p w14:paraId="20EE436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密度(g/</w:t>
            </w:r>
            <w:r>
              <w:rPr>
                <w:rFonts w:hint="eastAsia" w:asciiTheme="minorEastAsia" w:hAnsiTheme="minorEastAsia" w:eastAsiaTheme="minorEastAsia" w:cstheme="minorEastAsia"/>
                <w:color w:val="auto"/>
                <w:sz w:val="24"/>
                <w:szCs w:val="24"/>
                <w:highlight w:val="none"/>
                <w:vertAlign w:val="baseline"/>
                <w:lang w:val="en-US" w:eastAsia="zh-CN"/>
              </w:rPr>
              <w:t>cm</w:t>
            </w:r>
            <w:r>
              <w:rPr>
                <w:rFonts w:hint="eastAsia" w:asciiTheme="minorEastAsia" w:hAnsiTheme="minorEastAsia" w:eastAsiaTheme="minorEastAsia" w:cstheme="minorEastAsia"/>
                <w:color w:val="auto"/>
                <w:sz w:val="24"/>
                <w:szCs w:val="24"/>
                <w:highlight w:val="none"/>
                <w:vertAlign w:val="superscript"/>
                <w:lang w:val="en-US" w:eastAsia="zh-CN"/>
              </w:rPr>
              <w:t>3</w:t>
            </w:r>
            <w:r>
              <w:rPr>
                <w:rFonts w:hint="eastAsia" w:asciiTheme="minorEastAsia" w:hAnsiTheme="minorEastAsia" w:eastAsiaTheme="minorEastAsia" w:cstheme="minorEastAsia"/>
                <w:color w:val="auto"/>
                <w:sz w:val="24"/>
                <w:szCs w:val="24"/>
                <w:highlight w:val="none"/>
                <w:vertAlign w:val="baseline"/>
              </w:rPr>
              <w:t>)</w:t>
            </w:r>
          </w:p>
        </w:tc>
        <w:tc>
          <w:tcPr>
            <w:tcW w:w="2686" w:type="dxa"/>
            <w:noWrap w:val="0"/>
            <w:vAlign w:val="center"/>
          </w:tcPr>
          <w:p w14:paraId="56B75C6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1.2~1.5</w:t>
            </w:r>
          </w:p>
        </w:tc>
      </w:tr>
      <w:tr w14:paraId="3F93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379E13A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3388" w:type="dxa"/>
            <w:noWrap w:val="0"/>
            <w:vAlign w:val="top"/>
          </w:tcPr>
          <w:p w14:paraId="0A2D2323">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新胶含量(%)</w:t>
            </w:r>
          </w:p>
        </w:tc>
        <w:tc>
          <w:tcPr>
            <w:tcW w:w="2686" w:type="dxa"/>
            <w:noWrap w:val="0"/>
            <w:vAlign w:val="center"/>
          </w:tcPr>
          <w:p w14:paraId="55AFF4A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≥70</w:t>
            </w:r>
          </w:p>
        </w:tc>
      </w:tr>
      <w:tr w14:paraId="5386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6ECC6C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3388" w:type="dxa"/>
            <w:noWrap w:val="0"/>
            <w:vAlign w:val="top"/>
          </w:tcPr>
          <w:p w14:paraId="7E9A062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抗拉强度(MPa)</w:t>
            </w:r>
          </w:p>
        </w:tc>
        <w:tc>
          <w:tcPr>
            <w:tcW w:w="2686" w:type="dxa"/>
            <w:noWrap w:val="0"/>
            <w:vAlign w:val="center"/>
          </w:tcPr>
          <w:p w14:paraId="56578D5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13~22</w:t>
            </w:r>
          </w:p>
        </w:tc>
      </w:tr>
      <w:tr w14:paraId="7B0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8186BF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3388" w:type="dxa"/>
            <w:noWrap w:val="0"/>
            <w:vAlign w:val="top"/>
          </w:tcPr>
          <w:p w14:paraId="6888B12B">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肖氏硬度(Hs)</w:t>
            </w:r>
          </w:p>
        </w:tc>
        <w:tc>
          <w:tcPr>
            <w:tcW w:w="2686" w:type="dxa"/>
            <w:noWrap w:val="0"/>
            <w:vAlign w:val="center"/>
          </w:tcPr>
          <w:p w14:paraId="72973CF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50~70</w:t>
            </w:r>
          </w:p>
        </w:tc>
      </w:tr>
      <w:tr w14:paraId="79B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DB1097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3388" w:type="dxa"/>
            <w:noWrap w:val="0"/>
            <w:vAlign w:val="top"/>
          </w:tcPr>
          <w:p w14:paraId="23CAF03F">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延伸率(%)</w:t>
            </w:r>
          </w:p>
        </w:tc>
        <w:tc>
          <w:tcPr>
            <w:tcW w:w="2686" w:type="dxa"/>
            <w:noWrap w:val="0"/>
            <w:vAlign w:val="center"/>
          </w:tcPr>
          <w:p w14:paraId="1EE38BE9">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400~500</w:t>
            </w:r>
          </w:p>
        </w:tc>
      </w:tr>
      <w:tr w14:paraId="776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100DE7C5">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3388" w:type="dxa"/>
            <w:noWrap w:val="0"/>
            <w:vAlign w:val="top"/>
          </w:tcPr>
          <w:p w14:paraId="0BEF9ED1">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拉伸弹性模量(MPa)</w:t>
            </w:r>
          </w:p>
        </w:tc>
        <w:tc>
          <w:tcPr>
            <w:tcW w:w="2686" w:type="dxa"/>
            <w:noWrap w:val="0"/>
            <w:vAlign w:val="center"/>
          </w:tcPr>
          <w:p w14:paraId="24B35045">
            <w:pPr>
              <w:jc w:val="center"/>
              <w:rPr>
                <w:rFonts w:hint="eastAsia" w:asciiTheme="minorEastAsia" w:hAnsiTheme="minorEastAsia" w:eastAsiaTheme="minorEastAsia" w:cstheme="minorEastAsia"/>
                <w:color w:val="auto"/>
                <w:sz w:val="24"/>
                <w:szCs w:val="24"/>
                <w:highlight w:val="none"/>
                <w:vertAlign w:val="baseline"/>
              </w:rPr>
            </w:pPr>
          </w:p>
        </w:tc>
      </w:tr>
      <w:tr w14:paraId="0660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1403DCB4">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3FA2D25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当100%</w:t>
            </w:r>
          </w:p>
        </w:tc>
        <w:tc>
          <w:tcPr>
            <w:tcW w:w="2686" w:type="dxa"/>
            <w:noWrap w:val="0"/>
            <w:vAlign w:val="center"/>
          </w:tcPr>
          <w:p w14:paraId="4B74F7EB">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1.6~2.0</w:t>
            </w:r>
          </w:p>
        </w:tc>
      </w:tr>
      <w:tr w14:paraId="357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41D040B">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817A1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00%</w:t>
            </w:r>
          </w:p>
        </w:tc>
        <w:tc>
          <w:tcPr>
            <w:tcW w:w="2686" w:type="dxa"/>
            <w:noWrap w:val="0"/>
            <w:vAlign w:val="center"/>
          </w:tcPr>
          <w:p w14:paraId="24CE07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1.8~2.5</w:t>
            </w:r>
          </w:p>
        </w:tc>
      </w:tr>
      <w:tr w14:paraId="203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4339488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3388" w:type="dxa"/>
            <w:noWrap w:val="0"/>
            <w:vAlign w:val="top"/>
          </w:tcPr>
          <w:p w14:paraId="1497F3F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压缩弹性模量(MPa)</w:t>
            </w:r>
          </w:p>
        </w:tc>
        <w:tc>
          <w:tcPr>
            <w:tcW w:w="2686" w:type="dxa"/>
            <w:noWrap w:val="0"/>
            <w:vAlign w:val="center"/>
          </w:tcPr>
          <w:p w14:paraId="6E83608F">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14:paraId="0449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7DF7D3A2">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1E45C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0D3BC14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5.5~6.0</w:t>
            </w:r>
          </w:p>
        </w:tc>
      </w:tr>
      <w:tr w14:paraId="4422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251ABF56">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63D3AD77">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3</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256AF81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5.6~6.0</w:t>
            </w:r>
          </w:p>
        </w:tc>
      </w:tr>
      <w:tr w14:paraId="4796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2BEDE60">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172E7F5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4</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5F06B6AA">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6.2~6.8</w:t>
            </w:r>
          </w:p>
        </w:tc>
      </w:tr>
    </w:tbl>
    <w:p w14:paraId="4ED9FED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门体参数</w:t>
      </w:r>
    </w:p>
    <w:p w14:paraId="633AFB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069FC83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规格:54000mmX3000mmX467mm:数量:1组(现场焊接成整体):</w:t>
      </w:r>
    </w:p>
    <w:p w14:paraId="0EE32DD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3F604E2">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中间铰支座</w:t>
      </w:r>
    </w:p>
    <w:p w14:paraId="66DD76D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1C11089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规格:组合件；数量:4组；</w:t>
      </w:r>
    </w:p>
    <w:p w14:paraId="05D9347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651675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9CD8AB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边铰支座</w:t>
      </w:r>
    </w:p>
    <w:p w14:paraId="4E1108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14F70B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w:t>
      </w:r>
    </w:p>
    <w:p w14:paraId="308B7B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520ECF7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591A308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穿墙防水套</w:t>
      </w:r>
    </w:p>
    <w:p w14:paraId="7BEF2C2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65EF948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w:t>
      </w:r>
    </w:p>
    <w:p w14:paraId="68FC661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785DBB5A">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65CEFE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w:t>
      </w:r>
    </w:p>
    <w:p w14:paraId="7A66C04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4FDA9C3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规格:组合件；数量:1组(现场焊接成整体)；</w:t>
      </w:r>
    </w:p>
    <w:p w14:paraId="1E87818F">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轴套:304不锈钢；</w:t>
      </w:r>
    </w:p>
    <w:p w14:paraId="5857BDC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2CD56C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拐臂</w:t>
      </w:r>
    </w:p>
    <w:p w14:paraId="63F25B0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77C937F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规格:组合件；数量:1件；</w:t>
      </w:r>
    </w:p>
    <w:p w14:paraId="0E6D5E9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4D63D03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启闭机</w:t>
      </w:r>
    </w:p>
    <w:p w14:paraId="317900B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材质:Q355钢、45号钢；</w:t>
      </w:r>
    </w:p>
    <w:p w14:paraId="70A8F9A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规格:组合件；数量:1套；</w:t>
      </w:r>
    </w:p>
    <w:p w14:paraId="267C756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液压启装机为中间耳轴式:推力约1600KN:拉力约1350KN:电磁换向阀换向；</w:t>
      </w:r>
    </w:p>
    <w:p w14:paraId="34C9FE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油缸工作行程2545mm;最大行程2700mm;活塞杆配防尘罩。</w:t>
      </w:r>
    </w:p>
    <w:p w14:paraId="556BFF93">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自动控制系统参数</w:t>
      </w:r>
    </w:p>
    <w:p w14:paraId="365091C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 xml:space="preserve">配套 PLC 控制屏，功能为配电、控制、启动(降压起动)等为一体的控制屏。现地LCU完成机组各种模拟量、开关量的采集、计算、工程量变换，进行数据有效性校核等。 </w:t>
      </w:r>
    </w:p>
    <w:p w14:paraId="337831D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电源AC380V/220V+10%，额定绝缘电压不小于660V</w:t>
      </w:r>
    </w:p>
    <w:p w14:paraId="24CD10C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温度-25℃~70℃:</w:t>
      </w:r>
    </w:p>
    <w:p w14:paraId="149E523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湿度 5%~95%(允许短时有冷凝)。</w:t>
      </w:r>
    </w:p>
    <w:p w14:paraId="0A149A99">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柜体结构:为全封闭式板式结构，采用前、后开门设置，防护等级不低于IP57。</w:t>
      </w:r>
    </w:p>
    <w:p w14:paraId="274E894D">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闸门支撑系统（由底横轴、液压启闭机、拐臂、液压锁定装置组成）</w:t>
      </w:r>
    </w:p>
    <w:p w14:paraId="4CDEF06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w:t>
      </w:r>
    </w:p>
    <w:p w14:paraId="6627E51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底横轴制造应符合图纸及底横轴制造技术条件的有关规定。</w:t>
      </w:r>
    </w:p>
    <w:p w14:paraId="1B0C026A">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材质:Q355B</w:t>
      </w:r>
    </w:p>
    <w:p w14:paraId="7AF1446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防腐:热喷锌外加封闭漆和面漆。喷砂除锈St25级，热喷锌厚度≥160μm，环氧富锌底漆(含锌≥60%)厚度≥60μm，环氧云铁中间漆≥80μm，氣化橡胶面漆≥80μm，其他按照《SL105-2007 水工金属结构防腐蚀规范》执行;附着力≥6MPa；</w:t>
      </w:r>
    </w:p>
    <w:p w14:paraId="2DFE073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机械性能指标:屈服强度 Mpa≥335;拉伸强度470~630Mpa;断面收缩率%≥20;冲击吸收能量≥34。</w:t>
      </w:r>
    </w:p>
    <w:p w14:paraId="0D7D997F">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液压系统（含电动机、液压泵、充液压油管及附件、油箱液位显示和温度显示仪表等构件）：根据选定的3.0m坝高，升降坝时间控制在 3~15min 以内。</w:t>
      </w:r>
    </w:p>
    <w:p w14:paraId="61990F3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控制系统含控制柜、隔离开关、电流互感器、交流接触器、热继电器、转换开关、电压表、电流表、控制用按钮、信号灯、继电器、开度显示仪表、压力显示仪表、水位显示仪表及其它必需的配件和附件。</w:t>
      </w:r>
    </w:p>
    <w:p w14:paraId="118D0C94">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对于闸门在正常运行过程中由于风、浪可能对启闭机造成的负向 载荷而造成的失速、液压系统能迅速平稳地调整过渡。在调整过程中，系统控制活塞杆的速度、油压及流速等参数平稳变化。避免出现冲击和振动。</w:t>
      </w:r>
    </w:p>
    <w:p w14:paraId="04DCD42E">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闸门在全关位时，启闭机能适应闸顶过水及闸门变形的影响。</w:t>
      </w:r>
    </w:p>
    <w:p w14:paraId="37F3AC3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油缸行程传感器能给出闸门任意位置开度的指示信号。</w:t>
      </w:r>
    </w:p>
    <w:p w14:paraId="2BAE156F">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闸门在设定好的某一固定位置(即锁锭点)局部开启泄流时，应由液压穿轴锁锭系统进行锁锭，从而使整个液压缸卸载。</w:t>
      </w:r>
    </w:p>
    <w:p w14:paraId="150DD37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油缸行程检测传感器分辨率不低于 1mm</w:t>
      </w:r>
    </w:p>
    <w:p w14:paraId="40BFFC88">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闸门系统制造技术条件</w:t>
      </w:r>
    </w:p>
    <w:p w14:paraId="67D5D982">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门体及埋件制造技术要求</w:t>
      </w:r>
    </w:p>
    <w:p w14:paraId="75D42C4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门体及埋件的制造满足相关技术条件，同时符合施工图纸、相关规范的要求。防腐蚀处理措施符合相关规范。</w:t>
      </w:r>
    </w:p>
    <w:p w14:paraId="339AF5E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直接用于制造本工程各项结构的钢板或型钢应预先进行整平和矫正，不平度或变形超过允许范围的钢板或型钢，不用于制造本工程各构件。</w:t>
      </w:r>
    </w:p>
    <w:p w14:paraId="0DD6C780">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和埋件各构件的加工、拼装和焊接严格按照预先编制的工艺流程和经监理人审批工艺流程进行。制作过程中随时进行检测，严格控制焊接变形和焊接质量，对焊接变形超差部分全部进行校正，直至达到规定的标准为止。</w:t>
      </w:r>
    </w:p>
    <w:p w14:paraId="1B5B106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选用焊条和被焊工件的材料相适应。</w:t>
      </w:r>
    </w:p>
    <w:p w14:paraId="500961A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所有设备的质量检验及阶段验收工作，均在表面防腐工作之前进行。中间检查由承包人的质检部门负责，业主方监督或进行抽检。</w:t>
      </w:r>
    </w:p>
    <w:p w14:paraId="5745F899">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材料和工艺</w:t>
      </w:r>
    </w:p>
    <w:p w14:paraId="3031546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闸门及埋件制造所需的金属材料(包括黑色金属和有色金属材料)必须符合制造图和相关的规定，其机械性能、化学成份及其它技术性能需符合现行的有关国家标准和行业标准。</w:t>
      </w:r>
    </w:p>
    <w:p w14:paraId="52AE4E20">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焊接材料</w:t>
      </w:r>
    </w:p>
    <w:p w14:paraId="2525F5E6">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焊条型号或焊丝代号及其焊剂必须符合合同技术条件的规定，当合同技术条件没有规定时应选用与母材强度相适应的焊接材料。不锈钢的焊条应当使用相匹配的不锈钢焊条。</w:t>
      </w:r>
    </w:p>
    <w:p w14:paraId="60748E1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焊条应符合 GB5117、GB5118、GB984、GB983、GB981的有关规定，自动焊用的焊丝应符合 GBT14957 的有关规定。</w:t>
      </w:r>
    </w:p>
    <w:p w14:paraId="7F9B685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焊接材料必须具有产品合格证。</w:t>
      </w:r>
    </w:p>
    <w:p w14:paraId="54C91CC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焊条的贮存、保管与使用须遵照 JB3223 的规程执行。</w:t>
      </w:r>
    </w:p>
    <w:p w14:paraId="70989BC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闸门(门体)</w:t>
      </w:r>
    </w:p>
    <w:p w14:paraId="1581D7B9">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规格:54000mmX3000mmX467mm；数量:1组；材质:Q355B钢；防腐:热喷锌防腐外加封闭漆和面漆；喷锌厚度大于160μm，环氧封闭漆厚度 80μm，氯化橡胶面漆厚度</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80μm。</w:t>
      </w:r>
    </w:p>
    <w:p w14:paraId="671FFC8E">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机械性能指标：屈服强度Mpa</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335；拉伸强度470~630Mpa；断面收缩率%</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20；冲击吸收能量</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34:</w:t>
      </w:r>
    </w:p>
    <w:p w14:paraId="5CAB59B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连接</w:t>
      </w:r>
    </w:p>
    <w:p w14:paraId="24245FB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焊接连接</w:t>
      </w:r>
    </w:p>
    <w:p w14:paraId="0DF65935">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金属结构件的焊接工艺、焊前准备、施焊、焊接矫形、焊后处理、焊缝质检和焊缝修补等技术必须符合 SL36 和 DL/T5018 的规定。</w:t>
      </w:r>
    </w:p>
    <w:p w14:paraId="2C7AB56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焊缝坡口的型式与尺寸应符合设计图的规定,当设计图没有标明时,按GB985或 GB986 执行。</w:t>
      </w:r>
    </w:p>
    <w:p w14:paraId="5619350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一、二类焊缝的组合焊缝要求全部焊透，其焊脚尺寸必须符合设计图的规定，焊缝外形平缓过渡。</w:t>
      </w:r>
    </w:p>
    <w:p w14:paraId="2422EB5B">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除非设计图另有说明，所有焊缝均为连续焊缝。</w:t>
      </w:r>
    </w:p>
    <w:p w14:paraId="614A706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钢板的拼接接头应避开构件应力集中的断面，尽可能避免十字焊缝，相邻平行焊缝的间距应大于200mm。</w:t>
      </w:r>
    </w:p>
    <w:p w14:paraId="194D9677">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对于厚板大断面的焊缝，应采用多层多道焊。</w:t>
      </w:r>
    </w:p>
    <w:p w14:paraId="31D6142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螺栓连接</w:t>
      </w:r>
    </w:p>
    <w:p w14:paraId="6DACDEBB">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紧固件的规格、材料、制孔和连接应符合制造图及有关规范规定。</w:t>
      </w:r>
    </w:p>
    <w:p w14:paraId="6F9815D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主锚固螺栓、压板螺栓、螺帽、垫圈材质均应符合制造图和有关规定的要求。</w:t>
      </w:r>
    </w:p>
    <w:p w14:paraId="76F9E2C9">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安装所需要的螺栓、螺母、垫圈、连接螺杆均应按制造图中规定的数量预留部分消耗件。</w:t>
      </w:r>
    </w:p>
    <w:p w14:paraId="08CB411E">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预组装时所用的紧固件不能作为永久设备使用。</w:t>
      </w:r>
    </w:p>
    <w:p w14:paraId="7B668EE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单个构件：用于制造闸门或埋件的型钢或组焊而成的单个构件应进行整平和矫正，其偏差应符合规范有关条款的规定。对于复杂构件应按事先制作好的样板下料、拼装。</w:t>
      </w:r>
    </w:p>
    <w:p w14:paraId="49BB94C5">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防腐技术要求：须满足本项目图纸要求。</w:t>
      </w:r>
    </w:p>
    <w:p w14:paraId="7525EB2F">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现场踏勘</w:t>
      </w:r>
    </w:p>
    <w:p w14:paraId="6A9A4DD3">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本项目不组织统一现场踏勘，潜在投标人可自行对项目现场及周围环境进行踏勘，以便获取有关编制投标文件和签署合同所涉及现场的资料。潜在投标人应自行承担踏勘现场所发生的所有费用。</w:t>
      </w:r>
    </w:p>
    <w:p w14:paraId="4D5E875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现场踏勘联系人：邵跃斌，联系方式： 13859921858 。</w:t>
      </w:r>
    </w:p>
    <w:p w14:paraId="21A907EA">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潜在投标人并应对由此次踏勘现场而造成的任何损失、损害和引起的费用和开支承担责任。</w:t>
      </w:r>
    </w:p>
    <w:p w14:paraId="6D75151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投标人在递交投标文件之前，应已进行现场考察，并已经查得以下方面：</w:t>
      </w:r>
    </w:p>
    <w:p w14:paraId="234A63B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现场地形、地貌和特征；</w:t>
      </w:r>
    </w:p>
    <w:p w14:paraId="4348FCB6">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实施和完成本合同工程及其缺陷的修复的工作范围、性质和所需要的材料采购和加工；进场道路和水、电、食宿供应条件；</w:t>
      </w:r>
    </w:p>
    <w:p w14:paraId="752C99D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当地乡规民约和风俗习惯；</w:t>
      </w:r>
    </w:p>
    <w:p w14:paraId="1F017C9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投标人已取得对工程施工有影响或起作用的风险、意外等必要的资料；</w:t>
      </w:r>
    </w:p>
    <w:p w14:paraId="73FAD6A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建筑废土的处置。</w:t>
      </w:r>
    </w:p>
    <w:p w14:paraId="5B42B39C">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采购人向潜在投标人提供的有关现场的资料和数据，是采购人现有的能被潜在投标人利用的资料。采购人对投标人做出的理解、推论和结论均不负责任。</w:t>
      </w:r>
    </w:p>
    <w:p w14:paraId="5B48462B">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项目管理人员配备要求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2"/>
        <w:gridCol w:w="7296"/>
      </w:tblGrid>
      <w:tr w14:paraId="28524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3F81A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内  容</w:t>
            </w:r>
          </w:p>
        </w:tc>
        <w:tc>
          <w:tcPr>
            <w:tcW w:w="7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34223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w:t>
            </w:r>
          </w:p>
        </w:tc>
      </w:tr>
      <w:tr w14:paraId="5C87F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77AAB4">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8C0E9">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人，注册建造师注册专业及等级：</w:t>
            </w:r>
            <w:r>
              <w:rPr>
                <w:rFonts w:hint="eastAsia" w:asciiTheme="minorEastAsia" w:hAnsiTheme="minorEastAsia" w:cstheme="minorEastAsia"/>
                <w:b/>
                <w:color w:val="auto"/>
                <w:sz w:val="24"/>
                <w:szCs w:val="24"/>
                <w:highlight w:val="none"/>
                <w:u w:val="single"/>
                <w:lang w:val="en-US" w:eastAsia="zh-CN"/>
              </w:rPr>
              <w:t xml:space="preserve"> 水利水电工程</w:t>
            </w:r>
            <w:r>
              <w:rPr>
                <w:rFonts w:hint="eastAsia" w:asciiTheme="minorEastAsia" w:hAnsiTheme="minorEastAsia" w:eastAsiaTheme="minorEastAsia" w:cstheme="minorEastAsia"/>
                <w:b/>
                <w:color w:val="auto"/>
                <w:sz w:val="24"/>
                <w:szCs w:val="24"/>
                <w:highlight w:val="none"/>
                <w:u w:val="single"/>
              </w:rPr>
              <w:t>专业贰级（含）以上</w:t>
            </w:r>
            <w:r>
              <w:rPr>
                <w:rFonts w:hint="eastAsia" w:asciiTheme="minorEastAsia" w:hAnsiTheme="minorEastAsia" w:eastAsiaTheme="minorEastAsia" w:cstheme="minorEastAsia"/>
                <w:color w:val="auto"/>
                <w:sz w:val="24"/>
                <w:szCs w:val="24"/>
                <w:highlight w:val="none"/>
              </w:rPr>
              <w:t>，并持有合格有效的安全生产考核合格证书B证。</w:t>
            </w:r>
          </w:p>
          <w:p w14:paraId="4612E44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（2）拟派出项目负责人须附上其有效的注册建造师注册证书、身份证和住房和城乡建设行政主管部门颁发的安全生产考核合格证书B证的扫描件。</w:t>
            </w:r>
          </w:p>
          <w:p w14:paraId="68D7F98C">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或联合体牵头人的本企业在岗人员，以建造师注册证书上的聘用企业为准。</w:t>
            </w:r>
          </w:p>
        </w:tc>
      </w:tr>
      <w:tr w14:paraId="7242F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39BD43">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33D97">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（1）项目技术负责人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人，职称：</w:t>
            </w:r>
            <w:r>
              <w:rPr>
                <w:rFonts w:hint="eastAsia" w:asciiTheme="minorEastAsia" w:hAnsiTheme="minorEastAsia" w:eastAsiaTheme="minorEastAsia" w:cstheme="minorEastAsia"/>
                <w:color w:val="auto"/>
                <w:sz w:val="24"/>
                <w:szCs w:val="24"/>
                <w:highlight w:val="none"/>
                <w:u w:val="single"/>
              </w:rPr>
              <w:t xml:space="preserve"> 中</w:t>
            </w:r>
            <w:r>
              <w:rPr>
                <w:rFonts w:hint="eastAsia" w:asciiTheme="minorEastAsia" w:hAnsiTheme="minorEastAsia" w:eastAsiaTheme="minorEastAsia" w:cstheme="minorEastAsia"/>
                <w:color w:val="auto"/>
                <w:sz w:val="24"/>
                <w:szCs w:val="24"/>
                <w:highlight w:val="none"/>
              </w:rPr>
              <w:t>级（含）以上工程类职称（只考核工程师职称等级，无需考核职称专业）。</w:t>
            </w:r>
          </w:p>
          <w:p w14:paraId="62AF73E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（2）拟派出项目技术负责人须附上其职称证书能够证明其资格符合</w:t>
            </w:r>
            <w:r>
              <w:rPr>
                <w:rFonts w:hint="eastAsia" w:asciiTheme="minorEastAsia" w:hAnsi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文件要求职称等级的相关证明材料。</w:t>
            </w:r>
          </w:p>
          <w:p w14:paraId="463E003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（3）拟派出项目技术负责人必须为独立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或联合体牵头人的本企业在岗人员，以住房和城乡建设行政主管部门颁发的有效执业注册证书或社保管理部门出具的社保缴费证明所署单位为准。</w:t>
            </w:r>
          </w:p>
        </w:tc>
      </w:tr>
      <w:tr w14:paraId="6C41E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20C0C">
            <w:pPr>
              <w:pStyle w:val="54"/>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color w:val="auto"/>
                <w:sz w:val="24"/>
                <w:szCs w:val="24"/>
                <w:highlight w:val="none"/>
                <w:lang w:val="en-US" w:eastAsia="zh-CN"/>
              </w:rPr>
              <w:t>现场安全管理负责人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B7521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安全员：1人；岗位证书：安全生产考核合格证书C证。</w:t>
            </w:r>
          </w:p>
        </w:tc>
      </w:tr>
    </w:tbl>
    <w:p w14:paraId="2B1559BD">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施工要求</w:t>
      </w:r>
    </w:p>
    <w:p w14:paraId="47E22862">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现场安全防护设施要求：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按照有关规定编制安全技术措施或者专项施工方案，建立安全生产责任制度、治安保卫制度及安全生产教育培训制度，并按安全生产法律规定及合同约定履行安全职责，如实编制工程安全生产的有关记录，接受采购人、监理人及政府安全监督部门的检查与监督。</w:t>
      </w:r>
    </w:p>
    <w:p w14:paraId="67D53FEF">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环境保护要求：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应在施工组织设计中列明环境保护的具体措施。在合同履行期间，</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应采取合理措施保护施工现场环境。</w:t>
      </w:r>
    </w:p>
    <w:p w14:paraId="7E65C1D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文明施工要求：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应当遵守国家和工程所在地有关安全生产的要求。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在工程施工期间，应当采取措施保持施工现场平整，物料堆放整齐。工程所在地有关政府行政管理部门有特殊要求的，按照其要求执行。</w:t>
      </w:r>
    </w:p>
    <w:p w14:paraId="2A9CF279">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在工程移交之前，</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应当从施工现场清除全部工程设备、多余材料、垃圾和各种临时工程，并保持施工现场清洁整齐。</w:t>
      </w:r>
    </w:p>
    <w:p w14:paraId="42FA6ABF">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应对施工人员进行质量教育和技术培训，定期考核施工人员的劳动技能，严格执行施工规范和操作规程。</w:t>
      </w:r>
    </w:p>
    <w:p w14:paraId="29E4823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负责采购材料、工程设备的，应按照设计和有关标准要求采购，并提供产品合格证明及出厂证明，对材料、工程设备质量负责。</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采购的材料和工程设备不符合设计或有关标准要求时，</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应在采购人要求的合理期限内将不符合设计或有关标准要求的材料、工程设备运出施工现场，并重新采购符合要求的材料、工程设备，由此增加的费用和延误工期的责任，由</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承担。</w:t>
      </w:r>
    </w:p>
    <w:p w14:paraId="23A650F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须对此作出书面承诺并加盖</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公章：若</w:t>
      </w:r>
      <w:r>
        <w:rPr>
          <w:rFonts w:hint="eastAsia" w:ascii="宋体" w:hAnsi="宋体" w:eastAsia="宋体"/>
          <w:color w:val="auto"/>
          <w:sz w:val="24"/>
          <w:szCs w:val="28"/>
          <w:highlight w:val="none"/>
          <w:lang w:val="en-US" w:eastAsia="zh-CN"/>
        </w:rPr>
        <w:t>中标</w:t>
      </w:r>
      <w:r>
        <w:rPr>
          <w:rFonts w:hint="eastAsia" w:ascii="宋体" w:hAnsi="宋体" w:eastAsia="宋体"/>
          <w:color w:val="auto"/>
          <w:sz w:val="24"/>
          <w:szCs w:val="28"/>
          <w:highlight w:val="none"/>
        </w:rPr>
        <w:t>，在项目实施过程中如有出现安全责任事件（包含一切安全生产事故），由</w:t>
      </w:r>
      <w:r>
        <w:rPr>
          <w:rFonts w:hint="eastAsia" w:ascii="宋体" w:hAnsi="宋体" w:eastAsia="宋体"/>
          <w:color w:val="auto"/>
          <w:sz w:val="24"/>
          <w:szCs w:val="28"/>
          <w:highlight w:val="none"/>
          <w:lang w:val="en-US" w:eastAsia="zh-CN"/>
        </w:rPr>
        <w:t>中标人</w:t>
      </w:r>
      <w:r>
        <w:rPr>
          <w:rFonts w:hint="eastAsia" w:ascii="宋体" w:hAnsi="宋体" w:eastAsia="宋体"/>
          <w:color w:val="auto"/>
          <w:sz w:val="24"/>
          <w:szCs w:val="28"/>
          <w:highlight w:val="none"/>
        </w:rPr>
        <w:t>全权负责并承担相应的责任。</w:t>
      </w:r>
    </w:p>
    <w:p w14:paraId="4B4697A7">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★中标人须与工程项目周边居民自行协调好关系，不可发生任何突发事件，如有发生突发事件或额外产生的相关费用，均由中标人全权负责并承担相应的责任，投标人须于投标文件中提供承诺书。</w:t>
      </w:r>
    </w:p>
    <w:p w14:paraId="006B2C63">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val="en-US" w:eastAsia="zh-CN"/>
        </w:rPr>
        <w:t>提供施工条件</w:t>
      </w:r>
    </w:p>
    <w:p w14:paraId="62986CA9">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场地：已具备施工条件，采购人按现状移交施工现场。采购人提供的施工图纸范围内场地是采购人能够最大限度提供的施工用地，若需要临时占地，则实施本工程而需要的一切临时占地由中标人承担全部的费用和开支(包括相关手续的申请和办理)，此项费用中标人在投标报价时已综合考虑，包含在签约合同价款中。若中标人发生临时占地情形，相关单位要求拆除的，中标人必须按收到的通知要求予以拆除并自行承担费用。</w:t>
      </w:r>
    </w:p>
    <w:p w14:paraId="08197F14">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电讯由中标人与电讯部门联系，通讯费用由中标人支付。项目施工、生活办公水电接引工作及费用、水电使用费用均由中标人承担，包含在投标总价中，包于使用不调整。</w:t>
      </w:r>
    </w:p>
    <w:p w14:paraId="77D62D1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施工现场的交通条件：施工现场周围的公共道路通道已畅通,中标人应遵守厦门市交通管理部门和城监部门的有关规定</w:t>
      </w:r>
    </w:p>
    <w:p w14:paraId="05402035">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由采购人办理的施工所需证件、批件的名称和完成时间:采购人委托中标人办理开工前手续(包含但不限于办理质监申报、施工许可证等与本工程开工相关的证件)，不另计报酬，规定由采购人承担的费用由采购人承担。采购人给予积极配合。属中标人原因未及时办理好施工所需证件、批件而延误开工，施工总工期不顺延，中标人应承担工期延误的违约责任。</w:t>
      </w:r>
    </w:p>
    <w:p w14:paraId="15E46829">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技术响应要求</w:t>
      </w:r>
    </w:p>
    <w:p w14:paraId="6E8DCCF4">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投标人应在投标文件中明确主要货物的相关信息，包括但不限于：非定制品的品牌、制造商、型号、规格、技术参数、数量等信息，定制品的制造商、规格、技术参数、数量等信息。</w:t>
      </w:r>
    </w:p>
    <w:p w14:paraId="64C8824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须对此作出书面承诺并加盖投标人公章：投标人针对本项目所提交的投标文件中所有内容都将被视为是投入本项目实施所使用，若在项目实施过程中发现中标人所使用的产品等内容与其投标文件中不符，由此产生的一切后果由中标人承担。项目实施过程中使用产品与投标文件中的中小微企业生产产品、节能、环境标志产品不符，且中标人在投标过程中获利的，造成该部分产品不能结算后果将由中标人承担。并视为中标人违约，对中标人以弄虚作假骗取中标处罚。</w:t>
      </w:r>
    </w:p>
    <w:p w14:paraId="7C84E76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设备</w:t>
      </w:r>
      <w:r>
        <w:rPr>
          <w:rFonts w:hint="eastAsia" w:ascii="宋体" w:hAnsi="宋体" w:eastAsia="宋体"/>
          <w:color w:val="auto"/>
          <w:sz w:val="24"/>
          <w:szCs w:val="28"/>
          <w:highlight w:val="none"/>
        </w:rPr>
        <w:t>运输：由中标供应 商对所提供的产品按国家有关标准要求进行包装，并选择安全可靠的运输方式运抵工程施工现场，途中安全及费用全部由中标供应 商负责，运抵现场后由中标供应 商自行保管。</w:t>
      </w:r>
    </w:p>
    <w:p w14:paraId="33136DE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本章的要求为基本要求，评分条款若有对优于本章要求进行加分的，投标人符合要求并提供相应证明材料的可获加分，具体详见评分条款。</w:t>
      </w:r>
    </w:p>
    <w:p w14:paraId="48F381A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投标人除根据本章技术参数要求提供相应技术响应及佐证材料外，还应根据技术项评分条款的要求提供相应的技术参数佐证材料，未按要求提供的将可能导致不得分。</w:t>
      </w:r>
    </w:p>
    <w:p w14:paraId="63424D7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投标人应根据技术项评分条款的要求提供相应的方案，如实施方案、供货方案、安装调试方案等。</w:t>
      </w:r>
    </w:p>
    <w:p w14:paraId="085112CB">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投标人应根据技术要求和评分条款的要求明确中标后投入本项目的管理人员、技术人员、服务人员等信息，并提供相应的佐证材料，未按要求提供的将可能导致不得分。</w:t>
      </w:r>
    </w:p>
    <w:p w14:paraId="422179CC">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ascii="宋体" w:hAnsi="宋体" w:eastAsia="宋体"/>
          <w:color w:val="auto"/>
          <w:sz w:val="24"/>
          <w:szCs w:val="28"/>
          <w:highlight w:val="none"/>
        </w:rPr>
        <w:t>评分条款中若要求提供人员社保证明的，</w:t>
      </w:r>
      <w:r>
        <w:rPr>
          <w:rFonts w:hint="eastAsia" w:ascii="宋体" w:hAnsi="宋体" w:eastAsia="宋体"/>
          <w:color w:val="auto"/>
          <w:sz w:val="24"/>
          <w:szCs w:val="28"/>
          <w:highlight w:val="none"/>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61B7B28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2A98B04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投标人中标后不得将本项目转包，否则采购人有权终止合同并追究中标人的违约责任。</w:t>
      </w:r>
    </w:p>
    <w:p w14:paraId="45F9A526">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w:t>
      </w:r>
      <w:r>
        <w:rPr>
          <w:rFonts w:ascii="宋体" w:hAnsi="宋体" w:eastAsia="宋体"/>
          <w:color w:val="auto"/>
          <w:sz w:val="24"/>
          <w:szCs w:val="28"/>
          <w:highlight w:val="none"/>
        </w:rPr>
        <w:t>提供的采购标的应符合国家知识产权法律、法规的规定且非假冒伪劣品；</w:t>
      </w:r>
      <w:r>
        <w:rPr>
          <w:rFonts w:hint="eastAsia" w:ascii="宋体" w:hAnsi="宋体" w:eastAsia="宋体"/>
          <w:color w:val="auto"/>
          <w:sz w:val="24"/>
          <w:szCs w:val="28"/>
          <w:highlight w:val="none"/>
        </w:rPr>
        <w:t>投标人中标</w:t>
      </w:r>
      <w:r>
        <w:rPr>
          <w:rFonts w:ascii="宋体" w:hAnsi="宋体" w:eastAsia="宋体"/>
          <w:color w:val="auto"/>
          <w:sz w:val="24"/>
          <w:szCs w:val="28"/>
          <w:highlight w:val="none"/>
        </w:rPr>
        <w:t>后需保证</w:t>
      </w:r>
      <w:r>
        <w:rPr>
          <w:rFonts w:hint="eastAsia" w:ascii="宋体" w:hAnsi="宋体" w:eastAsia="宋体"/>
          <w:color w:val="auto"/>
          <w:sz w:val="24"/>
          <w:szCs w:val="28"/>
          <w:highlight w:val="none"/>
        </w:rPr>
        <w:t>采购</w:t>
      </w:r>
      <w:r>
        <w:rPr>
          <w:rFonts w:ascii="宋体" w:hAnsi="宋体" w:eastAsia="宋体"/>
          <w:color w:val="auto"/>
          <w:sz w:val="24"/>
          <w:szCs w:val="28"/>
          <w:highlight w:val="none"/>
        </w:rPr>
        <w:t>人不受到第三方关于侵犯知识产权及专利权、商标权或工业设计权等知识产权方面的指控，若任何第三方提出此方面指控均与</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无关，</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应与第三方交涉，并承担可能发生的一切法律责任、费用和后果；若</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因此而遭致损失，则</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应赔偿该损失。</w:t>
      </w:r>
    </w:p>
    <w:p w14:paraId="69DAFC2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186FF488">
      <w:pPr>
        <w:rPr>
          <w:color w:val="auto"/>
          <w:highlight w:val="none"/>
        </w:rPr>
      </w:pPr>
    </w:p>
    <w:p w14:paraId="3CBBE648">
      <w:pPr>
        <w:pStyle w:val="3"/>
        <w:spacing w:beforeLines="100" w:afterLines="100" w:line="240" w:lineRule="auto"/>
        <w:jc w:val="left"/>
        <w:rPr>
          <w:rFonts w:ascii="黑体" w:hAnsi="黑体" w:eastAsia="黑体" w:cs="Times New Roman"/>
          <w:color w:val="auto"/>
          <w:kern w:val="0"/>
          <w:sz w:val="30"/>
          <w:highlight w:val="none"/>
        </w:rPr>
      </w:pPr>
      <w:bookmarkStart w:id="21" w:name="_Toc139103825"/>
      <w:r>
        <w:rPr>
          <w:rFonts w:ascii="黑体" w:hAnsi="黑体" w:eastAsia="黑体" w:cs="Times New Roman"/>
          <w:color w:val="auto"/>
          <w:kern w:val="0"/>
          <w:sz w:val="30"/>
          <w:highlight w:val="none"/>
        </w:rPr>
        <w:t>三、商务要求</w:t>
      </w:r>
      <w:bookmarkEnd w:id="21"/>
    </w:p>
    <w:p w14:paraId="49453E68">
      <w:pPr>
        <w:rPr>
          <w:rFonts w:asciiTheme="minorEastAsia" w:hAnsiTheme="minorEastAsia"/>
          <w:color w:val="auto"/>
          <w:sz w:val="28"/>
          <w:szCs w:val="28"/>
          <w:highlight w:val="none"/>
        </w:rPr>
      </w:pPr>
      <w:r>
        <w:rPr>
          <w:rFonts w:asciiTheme="minorEastAsia" w:hAnsiTheme="minorEastAsia"/>
          <w:color w:val="auto"/>
          <w:sz w:val="28"/>
          <w:szCs w:val="28"/>
          <w:highlight w:val="none"/>
        </w:rPr>
        <w:t>（以“★”标示的内容为不允许负偏离的实质性要求）</w:t>
      </w:r>
    </w:p>
    <w:p w14:paraId="22A5B1CA">
      <w:pPr>
        <w:spacing w:line="360" w:lineRule="auto"/>
        <w:rPr>
          <w:rFonts w:asciiTheme="minorEastAsia" w:hAnsiTheme="minorEastAsia"/>
          <w:color w:val="auto"/>
          <w:sz w:val="24"/>
          <w:szCs w:val="28"/>
          <w:highlight w:val="none"/>
        </w:rPr>
      </w:pPr>
      <w:r>
        <w:rPr>
          <w:rFonts w:asciiTheme="minorEastAsia" w:hAnsiTheme="minorEastAsia"/>
          <w:color w:val="auto"/>
          <w:sz w:val="24"/>
          <w:szCs w:val="28"/>
          <w:highlight w:val="none"/>
        </w:rPr>
        <w:t>采购包1：</w:t>
      </w:r>
    </w:p>
    <w:tbl>
      <w:tblPr>
        <w:tblStyle w:val="17"/>
        <w:tblW w:w="89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437"/>
      </w:tblGrid>
      <w:tr w14:paraId="4FB0F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22CB9F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序号</w:t>
            </w:r>
          </w:p>
        </w:tc>
        <w:tc>
          <w:tcPr>
            <w:tcW w:w="1276" w:type="dxa"/>
            <w:vAlign w:val="center"/>
          </w:tcPr>
          <w:p w14:paraId="2964EF3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参数性质</w:t>
            </w:r>
          </w:p>
        </w:tc>
        <w:tc>
          <w:tcPr>
            <w:tcW w:w="2390" w:type="dxa"/>
            <w:vAlign w:val="center"/>
          </w:tcPr>
          <w:p w14:paraId="788D55A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类型</w:t>
            </w:r>
          </w:p>
        </w:tc>
        <w:tc>
          <w:tcPr>
            <w:tcW w:w="4437" w:type="dxa"/>
            <w:vAlign w:val="center"/>
          </w:tcPr>
          <w:p w14:paraId="3124024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要求</w:t>
            </w:r>
          </w:p>
        </w:tc>
      </w:tr>
      <w:tr w14:paraId="5005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A09267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276" w:type="dxa"/>
            <w:vAlign w:val="center"/>
          </w:tcPr>
          <w:p w14:paraId="5AD844E0">
            <w:pPr>
              <w:spacing w:line="360" w:lineRule="auto"/>
              <w:jc w:val="center"/>
              <w:rPr>
                <w:rFonts w:ascii="宋体" w:hAnsi="宋体" w:eastAsia="宋体" w:cs="Times New Roman"/>
                <w:color w:val="auto"/>
                <w:sz w:val="24"/>
                <w:szCs w:val="24"/>
                <w:highlight w:val="none"/>
              </w:rPr>
            </w:pPr>
          </w:p>
        </w:tc>
        <w:tc>
          <w:tcPr>
            <w:tcW w:w="2390" w:type="dxa"/>
            <w:vAlign w:val="center"/>
          </w:tcPr>
          <w:p w14:paraId="7E6E22DE">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交货时间</w:t>
            </w:r>
          </w:p>
        </w:tc>
        <w:tc>
          <w:tcPr>
            <w:tcW w:w="4437" w:type="dxa"/>
            <w:vAlign w:val="center"/>
          </w:tcPr>
          <w:p w14:paraId="6340BE2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本项目工期为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270</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日历日，具体开工日期以总监理工程师签署开工令为准。应按照施工现场施工进度按时交货。</w:t>
            </w:r>
          </w:p>
        </w:tc>
      </w:tr>
      <w:tr w14:paraId="77FB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42BC57D">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276" w:type="dxa"/>
            <w:vAlign w:val="center"/>
          </w:tcPr>
          <w:p w14:paraId="7910CBE6">
            <w:pPr>
              <w:spacing w:line="360" w:lineRule="auto"/>
              <w:jc w:val="center"/>
              <w:rPr>
                <w:rFonts w:ascii="宋体" w:hAnsi="宋体" w:eastAsia="宋体" w:cs="Times New Roman"/>
                <w:color w:val="auto"/>
                <w:sz w:val="24"/>
                <w:szCs w:val="24"/>
                <w:highlight w:val="none"/>
              </w:rPr>
            </w:pPr>
          </w:p>
        </w:tc>
        <w:tc>
          <w:tcPr>
            <w:tcW w:w="2390" w:type="dxa"/>
            <w:vAlign w:val="center"/>
          </w:tcPr>
          <w:p w14:paraId="5EA16A1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交货地点</w:t>
            </w:r>
          </w:p>
        </w:tc>
        <w:tc>
          <w:tcPr>
            <w:tcW w:w="4437" w:type="dxa"/>
            <w:vAlign w:val="center"/>
          </w:tcPr>
          <w:p w14:paraId="07D2358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福建省厦门市同安区工程项目所在地</w:t>
            </w:r>
          </w:p>
        </w:tc>
      </w:tr>
      <w:tr w14:paraId="13D9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783B726">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p>
        </w:tc>
        <w:tc>
          <w:tcPr>
            <w:tcW w:w="1276" w:type="dxa"/>
            <w:vAlign w:val="center"/>
          </w:tcPr>
          <w:p w14:paraId="58C4D7CD">
            <w:pPr>
              <w:spacing w:line="360" w:lineRule="auto"/>
              <w:jc w:val="center"/>
              <w:rPr>
                <w:rFonts w:ascii="宋体" w:hAnsi="宋体" w:eastAsia="宋体" w:cs="Times New Roman"/>
                <w:color w:val="auto"/>
                <w:sz w:val="24"/>
                <w:szCs w:val="24"/>
                <w:highlight w:val="none"/>
              </w:rPr>
            </w:pPr>
          </w:p>
        </w:tc>
        <w:tc>
          <w:tcPr>
            <w:tcW w:w="2390" w:type="dxa"/>
            <w:vAlign w:val="center"/>
          </w:tcPr>
          <w:p w14:paraId="6FA5FB5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交货条件</w:t>
            </w:r>
          </w:p>
        </w:tc>
        <w:tc>
          <w:tcPr>
            <w:tcW w:w="4437" w:type="dxa"/>
            <w:vAlign w:val="center"/>
          </w:tcPr>
          <w:p w14:paraId="0D25C7C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现场交货</w:t>
            </w:r>
            <w:r>
              <w:rPr>
                <w:rFonts w:hint="eastAsia" w:ascii="宋体" w:hAnsi="宋体" w:eastAsia="宋体" w:cs="Times New Roman"/>
                <w:color w:val="auto"/>
                <w:sz w:val="24"/>
                <w:szCs w:val="24"/>
                <w:highlight w:val="none"/>
                <w:lang w:val="en-US" w:eastAsia="zh-CN"/>
              </w:rPr>
              <w:t>安装及</w:t>
            </w:r>
            <w:r>
              <w:rPr>
                <w:rFonts w:hint="eastAsia" w:ascii="宋体" w:hAnsi="宋体" w:eastAsia="宋体" w:cs="Times New Roman"/>
                <w:color w:val="auto"/>
                <w:sz w:val="24"/>
                <w:szCs w:val="24"/>
                <w:highlight w:val="none"/>
              </w:rPr>
              <w:t>施工</w:t>
            </w:r>
          </w:p>
        </w:tc>
      </w:tr>
      <w:tr w14:paraId="7ED4E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9C4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276" w:type="dxa"/>
            <w:vAlign w:val="center"/>
          </w:tcPr>
          <w:p w14:paraId="3194A90B">
            <w:pPr>
              <w:spacing w:line="360" w:lineRule="auto"/>
              <w:jc w:val="center"/>
              <w:rPr>
                <w:rFonts w:ascii="宋体" w:hAnsi="宋体" w:eastAsia="宋体" w:cs="Times New Roman"/>
                <w:color w:val="auto"/>
                <w:sz w:val="24"/>
                <w:szCs w:val="24"/>
                <w:highlight w:val="none"/>
              </w:rPr>
            </w:pPr>
          </w:p>
        </w:tc>
        <w:tc>
          <w:tcPr>
            <w:tcW w:w="2390" w:type="dxa"/>
            <w:vAlign w:val="center"/>
          </w:tcPr>
          <w:p w14:paraId="7972758B">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是否邀请投标人验收</w:t>
            </w:r>
          </w:p>
        </w:tc>
        <w:tc>
          <w:tcPr>
            <w:tcW w:w="4437" w:type="dxa"/>
            <w:vAlign w:val="center"/>
          </w:tcPr>
          <w:p w14:paraId="3041A78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不邀请</w:t>
            </w:r>
          </w:p>
        </w:tc>
      </w:tr>
      <w:tr w14:paraId="02260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02984A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p>
        </w:tc>
        <w:tc>
          <w:tcPr>
            <w:tcW w:w="1276" w:type="dxa"/>
            <w:vAlign w:val="center"/>
          </w:tcPr>
          <w:p w14:paraId="4971CD99">
            <w:pPr>
              <w:spacing w:line="360" w:lineRule="auto"/>
              <w:jc w:val="center"/>
              <w:rPr>
                <w:rFonts w:ascii="宋体" w:hAnsi="宋体" w:eastAsia="宋体" w:cs="Times New Roman"/>
                <w:color w:val="auto"/>
                <w:sz w:val="24"/>
                <w:szCs w:val="24"/>
                <w:highlight w:val="none"/>
              </w:rPr>
            </w:pPr>
          </w:p>
        </w:tc>
        <w:tc>
          <w:tcPr>
            <w:tcW w:w="2390" w:type="dxa"/>
            <w:vAlign w:val="center"/>
          </w:tcPr>
          <w:p w14:paraId="7929482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履约验收方式</w:t>
            </w:r>
          </w:p>
        </w:tc>
        <w:tc>
          <w:tcPr>
            <w:tcW w:w="4437" w:type="dxa"/>
            <w:vAlign w:val="center"/>
          </w:tcPr>
          <w:p w14:paraId="149362D3">
            <w:pPr>
              <w:numPr>
                <w:ilvl w:val="0"/>
                <w:numId w:val="0"/>
              </w:num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rPr>
              <w:t>期次1，说明：【（1）验收依据：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文件、技术标准说明及国家有关的质量标准规定，均为验收依据。 （2）</w:t>
            </w:r>
            <w:r>
              <w:rPr>
                <w:rFonts w:hint="eastAsia" w:ascii="宋体" w:hAnsi="宋体" w:eastAsia="宋体" w:cs="Times New Roman"/>
                <w:color w:val="auto"/>
                <w:kern w:val="0"/>
                <w:sz w:val="24"/>
                <w:szCs w:val="24"/>
                <w:highlight w:val="none"/>
                <w:lang w:val="en-US" w:eastAsia="zh-CN"/>
              </w:rPr>
              <w:t>本项目依据《水利水电建设工程验收规程》SL/T223—2025标准文件进行验收。（3）</w:t>
            </w:r>
            <w:r>
              <w:rPr>
                <w:rFonts w:hint="eastAsia" w:ascii="宋体" w:hAnsi="宋体" w:eastAsia="宋体" w:cs="Times New Roman"/>
                <w:color w:val="auto"/>
                <w:kern w:val="0"/>
                <w:sz w:val="24"/>
                <w:szCs w:val="24"/>
                <w:highlight w:val="none"/>
              </w:rPr>
              <w:t>设备材料进场验收：设备、材料运抵施工现场后，由采购人、监理单位、</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双方对照清单及技术要求进行验收。 （</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）施工期间，若采购人提出主要施工材料在进场前应出具产品合格文件、检测报告，</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应及时提供并经采购人审核后方可使用于施工，其性能及技术指标应达到施工图中提供的相关参数及要求，且不低于</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文件要求。 （</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）工程竣工结算要求：工程完工验收并出具验收报告或验收纪要后，</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应在90日内完成工程项目决算送审。否则视为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违约，按照签约合同价日万分之五计算违约金，该项违约金上限为签约合同价的3%。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6</w:t>
            </w:r>
            <w:r>
              <w:rPr>
                <w:rFonts w:hint="eastAsia" w:ascii="宋体" w:hAnsi="宋体" w:eastAsia="宋体" w:cs="Times New Roman"/>
                <w:color w:val="auto"/>
                <w:kern w:val="0"/>
                <w:sz w:val="24"/>
                <w:szCs w:val="24"/>
                <w:highlight w:val="none"/>
                <w:lang w:eastAsia="zh-CN"/>
              </w:rPr>
              <w:t>）工程决算资料归档要求：工程竣工验收后，中标人应在90日内完成工程项目决算资料归档到建设单位和代建单位。否则视为中标人违约，按照签约合同价日万分之五计算违约金，该项违约金上限为签约合同价的3%。（</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竣工验收：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根据</w:t>
            </w:r>
            <w:r>
              <w:rPr>
                <w:rFonts w:hint="eastAsia" w:ascii="宋体" w:hAnsi="宋体" w:eastAsia="宋体" w:cs="Times New Roman"/>
                <w:color w:val="auto"/>
                <w:kern w:val="0"/>
                <w:sz w:val="24"/>
                <w:szCs w:val="24"/>
                <w:highlight w:val="none"/>
                <w:lang w:val="en-US" w:eastAsia="zh-CN"/>
              </w:rPr>
              <w:t>施工图纸</w:t>
            </w:r>
            <w:r>
              <w:rPr>
                <w:rFonts w:hint="eastAsia" w:ascii="宋体" w:hAnsi="宋体" w:eastAsia="宋体" w:cs="Times New Roman"/>
                <w:color w:val="auto"/>
                <w:kern w:val="0"/>
                <w:sz w:val="24"/>
                <w:szCs w:val="24"/>
                <w:highlight w:val="none"/>
              </w:rPr>
              <w:t>要求进行施工完毕并经检测单位检测合格后，由采购人及相关部门组织验收。（</w:t>
            </w: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应在项目验收时向采购人提供并移交下列（但不限于）项目及项目相关资料：①施工内业资料；②竣工图纸；③其它正式验收需提供的通知或文本或资料。（</w:t>
            </w:r>
            <w:r>
              <w:rPr>
                <w:rFonts w:hint="eastAsia" w:ascii="宋体" w:hAnsi="宋体" w:eastAsia="宋体" w:cs="Times New Roman"/>
                <w:color w:val="auto"/>
                <w:kern w:val="0"/>
                <w:sz w:val="24"/>
                <w:szCs w:val="24"/>
                <w:highlight w:val="none"/>
                <w:lang w:val="en-US" w:eastAsia="zh-CN"/>
              </w:rPr>
              <w:t>9</w:t>
            </w:r>
            <w:r>
              <w:rPr>
                <w:rFonts w:hint="eastAsia" w:ascii="宋体" w:hAnsi="宋体" w:eastAsia="宋体" w:cs="Times New Roman"/>
                <w:color w:val="auto"/>
                <w:kern w:val="0"/>
                <w:sz w:val="24"/>
                <w:szCs w:val="24"/>
                <w:highlight w:val="none"/>
              </w:rPr>
              <w:t>）验收时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代表必须在场，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在施工完毕后，在10个工作日内采购人根据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文件条款及附件（含图纸</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清单</w:t>
            </w:r>
            <w:r>
              <w:rPr>
                <w:rFonts w:hint="eastAsia" w:ascii="宋体" w:hAnsi="宋体" w:eastAsia="宋体" w:cs="Times New Roman"/>
                <w:color w:val="auto"/>
                <w:kern w:val="0"/>
                <w:sz w:val="24"/>
                <w:szCs w:val="24"/>
                <w:highlight w:val="none"/>
              </w:rPr>
              <w:t>等</w:t>
            </w:r>
            <w:r>
              <w:rPr>
                <w:rFonts w:hint="eastAsia" w:ascii="宋体" w:hAnsi="宋体" w:eastAsia="宋体" w:cs="Times New Roman"/>
                <w:color w:val="auto"/>
                <w:kern w:val="0"/>
                <w:sz w:val="24"/>
                <w:szCs w:val="24"/>
                <w:highlight w:val="none"/>
                <w:lang w:val="en-US" w:eastAsia="zh-CN"/>
              </w:rPr>
              <w:t>一切内容</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文件和采购合同及取样检测报告（如需）进行整个项目的验收。如未通过验收，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必须在验收之日起7天内整改至全面符合验收要求，并通过验收。（</w:t>
            </w:r>
            <w:r>
              <w:rPr>
                <w:rFonts w:hint="eastAsia" w:ascii="宋体" w:hAnsi="宋体" w:eastAsia="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）若出现有关法律、法规和规章有强制性规定但本</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文件未列明的情形，则</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应按照有关法律、法规和规章强制性规定执行。</w:t>
            </w:r>
            <w:r>
              <w:rPr>
                <w:rFonts w:hint="eastAsia" w:ascii="宋体" w:hAnsi="宋体" w:eastAsia="宋体" w:cs="Times New Roman"/>
                <w:color w:val="auto"/>
                <w:kern w:val="0"/>
                <w:sz w:val="24"/>
                <w:szCs w:val="24"/>
                <w:highlight w:val="none"/>
                <w:lang w:val="en-US" w:eastAsia="zh-CN"/>
              </w:rPr>
              <w:t>中标</w:t>
            </w:r>
            <w:r>
              <w:rPr>
                <w:rFonts w:hint="eastAsia" w:ascii="宋体" w:hAnsi="宋体" w:eastAsia="宋体" w:cs="Times New Roman"/>
                <w:color w:val="auto"/>
                <w:kern w:val="0"/>
                <w:sz w:val="24"/>
                <w:szCs w:val="24"/>
                <w:highlight w:val="none"/>
              </w:rPr>
              <w:t>后应向采购人提供其产品符合国家强制规定的证明材料。否则采购人有权视为验收 不合格。（</w:t>
            </w:r>
            <w:r>
              <w:rPr>
                <w:rFonts w:hint="eastAsia" w:ascii="宋体" w:hAnsi="宋体" w:eastAsia="宋体" w:cs="Times New Roman"/>
                <w:color w:val="auto"/>
                <w:kern w:val="0"/>
                <w:sz w:val="24"/>
                <w:szCs w:val="24"/>
                <w:highlight w:val="none"/>
                <w:lang w:val="en-US" w:eastAsia="zh-CN"/>
              </w:rPr>
              <w:t>11</w:t>
            </w:r>
            <w:r>
              <w:rPr>
                <w:rFonts w:hint="eastAsia" w:ascii="宋体" w:hAnsi="宋体" w:eastAsia="宋体" w:cs="Times New Roman"/>
                <w:color w:val="auto"/>
                <w:kern w:val="0"/>
                <w:sz w:val="24"/>
                <w:szCs w:val="24"/>
                <w:highlight w:val="none"/>
              </w:rPr>
              <w:t>）验收过程所发生的一切费用由</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承担。】</w:t>
            </w:r>
          </w:p>
        </w:tc>
      </w:tr>
      <w:tr w14:paraId="58C84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B0E52C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p>
        </w:tc>
        <w:tc>
          <w:tcPr>
            <w:tcW w:w="1276" w:type="dxa"/>
            <w:vAlign w:val="center"/>
          </w:tcPr>
          <w:p w14:paraId="16992380">
            <w:pPr>
              <w:spacing w:line="360" w:lineRule="auto"/>
              <w:jc w:val="center"/>
              <w:rPr>
                <w:rFonts w:ascii="宋体" w:hAnsi="宋体" w:eastAsia="宋体" w:cs="Times New Roman"/>
                <w:color w:val="auto"/>
                <w:sz w:val="24"/>
                <w:szCs w:val="24"/>
                <w:highlight w:val="none"/>
              </w:rPr>
            </w:pPr>
          </w:p>
        </w:tc>
        <w:tc>
          <w:tcPr>
            <w:tcW w:w="2390" w:type="dxa"/>
            <w:vAlign w:val="center"/>
          </w:tcPr>
          <w:p w14:paraId="25F8EF1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合同支付方式</w:t>
            </w:r>
          </w:p>
        </w:tc>
        <w:tc>
          <w:tcPr>
            <w:tcW w:w="4437" w:type="dxa"/>
            <w:vAlign w:val="center"/>
          </w:tcPr>
          <w:p w14:paraId="58F9225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具体详见“支付方式”要求</w:t>
            </w:r>
            <w:r>
              <w:rPr>
                <w:rFonts w:hint="eastAsia" w:ascii="宋体" w:hAnsi="宋体" w:eastAsia="宋体" w:cs="Times New Roman"/>
                <w:color w:val="auto"/>
                <w:kern w:val="0"/>
                <w:sz w:val="24"/>
                <w:szCs w:val="24"/>
                <w:highlight w:val="none"/>
              </w:rPr>
              <w:t>】，达到付款条件起【</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rPr>
              <w:t>】日，支付合同总金额的【</w:t>
            </w:r>
            <w:r>
              <w:rPr>
                <w:rFonts w:hint="eastAsia" w:ascii="宋体" w:hAnsi="宋体" w:eastAsia="宋体" w:cs="Times New Roman"/>
                <w:color w:val="auto"/>
                <w:kern w:val="0"/>
                <w:sz w:val="24"/>
                <w:szCs w:val="24"/>
                <w:highlight w:val="none"/>
                <w:lang w:val="en-US" w:eastAsia="zh-CN"/>
              </w:rPr>
              <w:t>100</w:t>
            </w:r>
            <w:r>
              <w:rPr>
                <w:rFonts w:hint="eastAsia" w:ascii="宋体" w:hAnsi="宋体" w:eastAsia="宋体" w:cs="Times New Roman"/>
                <w:color w:val="auto"/>
                <w:kern w:val="0"/>
                <w:sz w:val="24"/>
                <w:szCs w:val="24"/>
                <w:highlight w:val="none"/>
              </w:rPr>
              <w:t>】%。</w:t>
            </w:r>
          </w:p>
        </w:tc>
      </w:tr>
      <w:tr w14:paraId="4FCC0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F58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p>
        </w:tc>
        <w:tc>
          <w:tcPr>
            <w:tcW w:w="1276" w:type="dxa"/>
            <w:vAlign w:val="center"/>
          </w:tcPr>
          <w:p w14:paraId="6A093312">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10B9D791">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履约保证金</w:t>
            </w:r>
          </w:p>
        </w:tc>
        <w:tc>
          <w:tcPr>
            <w:tcW w:w="4437" w:type="dxa"/>
            <w:shd w:val="clear" w:color="auto" w:fill="auto"/>
            <w:vAlign w:val="center"/>
          </w:tcPr>
          <w:p w14:paraId="5BB7032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缴纳：</w:t>
            </w:r>
          </w:p>
          <w:p w14:paraId="3197B3CF">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本采购包履约保证金为合同金额的【</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p>
          <w:p w14:paraId="58EE9B3A">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说明：</w:t>
            </w:r>
          </w:p>
          <w:p w14:paraId="752EE8DE">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收取时间：合同签订时提交。对符合规定的中小企业减半收取履约保证金。</w:t>
            </w:r>
          </w:p>
          <w:p w14:paraId="12A1D049">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退还时间：在合同履约完毕且无合同纠纷后5个工作日内向</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退清履约保证金。</w:t>
            </w:r>
          </w:p>
          <w:p w14:paraId="11A68AC5">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提交方式：允许</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自行选择提交履约保证金的方式。</w:t>
            </w:r>
          </w:p>
          <w:p w14:paraId="7AC340A2">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 w:val="24"/>
                <w:szCs w:val="24"/>
                <w:highlight w:val="none"/>
              </w:rPr>
              <w:t>不予退还的情形：</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未按合同约定承担违约责任的，采购人有权不予退还履约保证金。</w:t>
            </w:r>
          </w:p>
        </w:tc>
      </w:tr>
      <w:tr w14:paraId="57BD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1" w:hRule="atLeast"/>
          <w:jc w:val="center"/>
        </w:trPr>
        <w:tc>
          <w:tcPr>
            <w:tcW w:w="893" w:type="dxa"/>
            <w:vAlign w:val="center"/>
          </w:tcPr>
          <w:p w14:paraId="2BBFCD0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276" w:type="dxa"/>
            <w:vAlign w:val="center"/>
          </w:tcPr>
          <w:p w14:paraId="4414F390">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704BF924">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其他</w:t>
            </w:r>
          </w:p>
        </w:tc>
        <w:tc>
          <w:tcPr>
            <w:tcW w:w="4437" w:type="dxa"/>
            <w:shd w:val="clear" w:color="auto" w:fill="auto"/>
            <w:vAlign w:val="center"/>
          </w:tcPr>
          <w:p w14:paraId="6C48172B">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本表由于系统限制编辑，若本章其他地方内容与本表内容不一致的，以其他地方表述内容为准。</w:t>
            </w:r>
          </w:p>
        </w:tc>
      </w:tr>
    </w:tbl>
    <w:p w14:paraId="5AFA33C5">
      <w:pPr>
        <w:spacing w:line="360" w:lineRule="auto"/>
        <w:ind w:firstLine="480" w:firstLineChars="200"/>
        <w:rPr>
          <w:rFonts w:asciiTheme="minorEastAsia" w:hAnsiTheme="minorEastAsia"/>
          <w:color w:val="auto"/>
          <w:sz w:val="24"/>
          <w:szCs w:val="28"/>
          <w:highlight w:val="none"/>
        </w:rPr>
      </w:pPr>
    </w:p>
    <w:p w14:paraId="67AEBD2E">
      <w:pPr>
        <w:spacing w:line="360" w:lineRule="auto"/>
        <w:ind w:firstLine="482" w:firstLineChars="200"/>
        <w:rPr>
          <w:rFonts w:asciiTheme="minorEastAsia" w:hAnsiTheme="minorEastAsia"/>
          <w:b/>
          <w:color w:val="auto"/>
          <w:sz w:val="24"/>
          <w:szCs w:val="28"/>
          <w:highlight w:val="none"/>
        </w:rPr>
      </w:pPr>
      <w:r>
        <w:rPr>
          <w:rFonts w:asciiTheme="minorEastAsia" w:hAnsiTheme="minorEastAsia"/>
          <w:b/>
          <w:color w:val="auto"/>
          <w:sz w:val="24"/>
          <w:szCs w:val="28"/>
          <w:highlight w:val="none"/>
        </w:rPr>
        <w:t>其他商务要求</w:t>
      </w:r>
    </w:p>
    <w:p w14:paraId="79CE9597">
      <w:pPr>
        <w:spacing w:line="360" w:lineRule="auto"/>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8、售后服务要求</w:t>
      </w:r>
    </w:p>
    <w:p w14:paraId="3D95AD5E">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w:t>
      </w:r>
      <w:r>
        <w:rPr>
          <w:rFonts w:hint="eastAsia" w:cs="宋体" w:asciiTheme="minorEastAsia" w:hAnsiTheme="minorEastAsia"/>
          <w:b w:val="0"/>
          <w:bCs w:val="0"/>
          <w:color w:val="auto"/>
          <w:kern w:val="0"/>
          <w:sz w:val="24"/>
          <w:szCs w:val="24"/>
          <w:highlight w:val="none"/>
        </w:rPr>
        <w:t>.1</w:t>
      </w:r>
      <w:r>
        <w:rPr>
          <w:rFonts w:hint="eastAsia" w:cs="宋体" w:asciiTheme="minorEastAsia" w:hAnsiTheme="minorEastAsia"/>
          <w:b w:val="0"/>
          <w:bCs w:val="0"/>
          <w:color w:val="auto"/>
          <w:kern w:val="0"/>
          <w:sz w:val="24"/>
          <w:szCs w:val="24"/>
          <w:highlight w:val="none"/>
          <w:lang w:val="en-US" w:eastAsia="zh-CN"/>
        </w:rPr>
        <w:t>.</w:t>
      </w:r>
      <w:r>
        <w:rPr>
          <w:rFonts w:hint="eastAsia" w:cs="宋体" w:asciiTheme="minorEastAsia" w:hAnsiTheme="minorEastAsia"/>
          <w:b w:val="0"/>
          <w:bCs w:val="0"/>
          <w:color w:val="auto"/>
          <w:kern w:val="0"/>
          <w:sz w:val="24"/>
          <w:szCs w:val="24"/>
          <w:highlight w:val="none"/>
        </w:rPr>
        <w:t>★</w:t>
      </w:r>
      <w:r>
        <w:rPr>
          <w:rFonts w:hint="eastAsia" w:cs="宋体" w:asciiTheme="minorEastAsia" w:hAnsiTheme="minorEastAsia"/>
          <w:b w:val="0"/>
          <w:bCs w:val="0"/>
          <w:color w:val="auto"/>
          <w:kern w:val="0"/>
          <w:sz w:val="24"/>
          <w:szCs w:val="24"/>
          <w:highlight w:val="none"/>
          <w:lang w:val="en-US" w:eastAsia="zh-CN"/>
        </w:rPr>
        <w:t>本项目整体免费质保期不得少于1年，自项目</w:t>
      </w:r>
      <w:r>
        <w:rPr>
          <w:rFonts w:hint="eastAsia" w:cs="宋体" w:asciiTheme="minorEastAsia" w:hAnsiTheme="minorEastAsia"/>
          <w:b w:val="0"/>
          <w:bCs w:val="0"/>
          <w:color w:val="auto"/>
          <w:kern w:val="0"/>
          <w:sz w:val="24"/>
          <w:szCs w:val="24"/>
          <w:highlight w:val="none"/>
        </w:rPr>
        <w:t>经</w:t>
      </w:r>
      <w:r>
        <w:rPr>
          <w:rFonts w:hint="eastAsia" w:cs="宋体" w:asciiTheme="minorEastAsia" w:hAnsiTheme="minorEastAsia"/>
          <w:b w:val="0"/>
          <w:bCs w:val="0"/>
          <w:color w:val="auto"/>
          <w:kern w:val="0"/>
          <w:sz w:val="24"/>
          <w:szCs w:val="24"/>
          <w:highlight w:val="none"/>
          <w:lang w:val="en-US" w:eastAsia="zh-CN"/>
        </w:rPr>
        <w:t>竣工</w:t>
      </w:r>
      <w:r>
        <w:rPr>
          <w:rFonts w:hint="eastAsia" w:cs="宋体" w:asciiTheme="minorEastAsia" w:hAnsiTheme="minorEastAsia"/>
          <w:b w:val="0"/>
          <w:bCs w:val="0"/>
          <w:color w:val="auto"/>
          <w:kern w:val="0"/>
          <w:sz w:val="24"/>
          <w:szCs w:val="24"/>
          <w:highlight w:val="none"/>
        </w:rPr>
        <w:t>验收合格</w:t>
      </w:r>
      <w:r>
        <w:rPr>
          <w:rFonts w:hint="eastAsia" w:cs="宋体" w:asciiTheme="minorEastAsia" w:hAnsiTheme="minorEastAsia"/>
          <w:b w:val="0"/>
          <w:bCs w:val="0"/>
          <w:color w:val="auto"/>
          <w:kern w:val="0"/>
          <w:sz w:val="24"/>
          <w:szCs w:val="24"/>
          <w:highlight w:val="none"/>
          <w:lang w:val="en-US" w:eastAsia="zh-CN"/>
        </w:rPr>
        <w:t>起计算。采购清单中“设备部分”的货物要求提供设备原厂免费维保</w:t>
      </w:r>
      <w:r>
        <w:rPr>
          <w:rFonts w:hint="eastAsia" w:cs="宋体" w:asciiTheme="minorEastAsia" w:hAnsiTheme="minorEastAsia"/>
          <w:b w:val="0"/>
          <w:bCs w:val="0"/>
          <w:color w:val="auto"/>
          <w:kern w:val="0"/>
          <w:sz w:val="24"/>
          <w:szCs w:val="24"/>
          <w:highlight w:val="none"/>
        </w:rPr>
        <w:t>。</w:t>
      </w:r>
    </w:p>
    <w:p w14:paraId="71F5180D">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8.2.</w:t>
      </w:r>
      <w:r>
        <w:rPr>
          <w:rFonts w:hint="eastAsia" w:cs="宋体" w:asciiTheme="minorEastAsia" w:hAnsiTheme="minorEastAsia"/>
          <w:b w:val="0"/>
          <w:bCs w:val="0"/>
          <w:color w:val="auto"/>
          <w:kern w:val="0"/>
          <w:sz w:val="24"/>
          <w:szCs w:val="24"/>
          <w:highlight w:val="none"/>
        </w:rPr>
        <w:t>在质量保证期内设备运行发生故障时，中标人在接到采购人故障通知后2小时内回应，委派专业技术人员到现场免费提供咨询、维修和更换零部件等服务，并及时填写维修报告（包括故障原因、处理情况及采购人意见等）报采购人备案，若48小时内无法排除故障，则应先提供同档次备用机供采购人使用。其中发生一切费用由中标人承担。质量保证期内中标人有责任对设备进行不定期的巡查检修。投标人视自身能力在投标文件中提供更优、更合理的维修服务承诺。</w:t>
      </w:r>
    </w:p>
    <w:p w14:paraId="76356EE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8.3.</w:t>
      </w:r>
      <w:r>
        <w:rPr>
          <w:rFonts w:hint="eastAsia" w:cs="宋体" w:asciiTheme="minorEastAsia" w:hAnsiTheme="minorEastAsia"/>
          <w:b w:val="0"/>
          <w:bCs w:val="0"/>
          <w:color w:val="auto"/>
          <w:kern w:val="0"/>
          <w:sz w:val="24"/>
          <w:szCs w:val="24"/>
          <w:highlight w:val="none"/>
        </w:rPr>
        <w:t>质保期满前1个月内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应就所有货物进行一次全面检查，并写出正式报告，如发现潜在问题，应负责排除。如出现质量问题，在质保期内对货物进行维修和零配件的更换。</w:t>
      </w:r>
    </w:p>
    <w:p w14:paraId="65B2935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8.4.</w:t>
      </w:r>
      <w:r>
        <w:rPr>
          <w:rFonts w:hint="eastAsia" w:cs="宋体" w:asciiTheme="minorEastAsia" w:hAnsiTheme="minorEastAsia"/>
          <w:b w:val="0"/>
          <w:bCs w:val="0"/>
          <w:color w:val="auto"/>
          <w:kern w:val="0"/>
          <w:sz w:val="24"/>
          <w:szCs w:val="24"/>
          <w:highlight w:val="none"/>
        </w:rPr>
        <w:t>质保期内，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应提供免费的技术支持和技术升级服务。主要培训内容包括货物及主要部件的基本构造、功能、安装、调试、日常操作、实验项目、保养与管理、常见故障的排除、紧急情况的处理等。</w:t>
      </w:r>
    </w:p>
    <w:p w14:paraId="7E3F5BD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8.5.</w:t>
      </w:r>
      <w:r>
        <w:rPr>
          <w:rFonts w:hint="eastAsia" w:cs="宋体" w:asciiTheme="minorEastAsia" w:hAnsiTheme="minorEastAsia"/>
          <w:b w:val="0"/>
          <w:bCs w:val="0"/>
          <w:color w:val="auto"/>
          <w:kern w:val="0"/>
          <w:sz w:val="24"/>
          <w:szCs w:val="24"/>
          <w:highlight w:val="none"/>
        </w:rPr>
        <w:t>质保期后技术服务内容：质保期满后，</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仍应提供定期维护和修理，维修仅收取零配件费用。</w:t>
      </w:r>
    </w:p>
    <w:p w14:paraId="1FAC0C1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8.6.</w:t>
      </w:r>
      <w:r>
        <w:rPr>
          <w:rFonts w:hint="eastAsia" w:cs="宋体" w:asciiTheme="minorEastAsia" w:hAnsiTheme="minorEastAsia"/>
          <w:b w:val="0"/>
          <w:bCs w:val="0"/>
          <w:color w:val="auto"/>
          <w:kern w:val="0"/>
          <w:sz w:val="24"/>
          <w:szCs w:val="24"/>
          <w:highlight w:val="none"/>
        </w:rPr>
        <w:t>投标人所投产品的制造标准、安装标准及技术规范等有关资料必须符合现行我国相应的有关标准、规范要求。</w:t>
      </w:r>
    </w:p>
    <w:p w14:paraId="1F174A89">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8.7.</w:t>
      </w:r>
      <w:r>
        <w:rPr>
          <w:rFonts w:hint="eastAsia" w:cs="宋体" w:asciiTheme="minorEastAsia" w:hAnsiTheme="minorEastAsia"/>
          <w:b w:val="0"/>
          <w:bCs w:val="0"/>
          <w:color w:val="auto"/>
          <w:kern w:val="0"/>
          <w:sz w:val="24"/>
          <w:szCs w:val="24"/>
          <w:highlight w:val="none"/>
        </w:rPr>
        <w:t>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必须保证提供原产、正宗品 牌产品，不得用假冒及伪劣产品替代；如出现</w:t>
      </w:r>
      <w:r>
        <w:rPr>
          <w:rFonts w:hint="eastAsia" w:cs="宋体" w:asciiTheme="minorEastAsia" w:hAnsiTheme="minorEastAsia"/>
          <w:b w:val="0"/>
          <w:bCs w:val="0"/>
          <w:color w:val="auto"/>
          <w:kern w:val="0"/>
          <w:sz w:val="24"/>
          <w:szCs w:val="24"/>
          <w:highlight w:val="none"/>
          <w:lang w:val="en-US" w:eastAsia="zh-CN"/>
        </w:rPr>
        <w:t>上述</w:t>
      </w:r>
      <w:r>
        <w:rPr>
          <w:rFonts w:hint="eastAsia" w:cs="宋体" w:asciiTheme="minorEastAsia" w:hAnsiTheme="minorEastAsia"/>
          <w:b w:val="0"/>
          <w:bCs w:val="0"/>
          <w:color w:val="auto"/>
          <w:kern w:val="0"/>
          <w:sz w:val="24"/>
          <w:szCs w:val="24"/>
          <w:highlight w:val="none"/>
        </w:rPr>
        <w:t>质量问题采购人有权退货；造成损失的，采购人可要求中标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给予赔偿。</w:t>
      </w:r>
    </w:p>
    <w:p w14:paraId="5E5236FB">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8.8.</w:t>
      </w:r>
      <w:r>
        <w:rPr>
          <w:rFonts w:hint="eastAsia" w:cs="宋体" w:asciiTheme="minorEastAsia" w:hAnsiTheme="minorEastAsia"/>
          <w:b w:val="0"/>
          <w:bCs w:val="0"/>
          <w:color w:val="auto"/>
          <w:kern w:val="0"/>
          <w:sz w:val="24"/>
          <w:szCs w:val="24"/>
          <w:highlight w:val="none"/>
        </w:rPr>
        <w:t>运输：由中标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对所提供的产品按国家有关标准要求进行包装，并选择安全可靠的运输方式运抵工程施工现场，途中安全及费用全部由中标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负责，运抵现场后由中标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自行保管。</w:t>
      </w:r>
    </w:p>
    <w:p w14:paraId="59A36C3E">
      <w:pPr>
        <w:spacing w:line="360" w:lineRule="auto"/>
        <w:ind w:firstLine="480" w:firstLineChars="200"/>
        <w:jc w:val="left"/>
        <w:rPr>
          <w:rFonts w:hint="eastAsia" w:cs="宋体" w:asciiTheme="minorEastAsia" w:hAnsiTheme="minorEastAsia" w:eastAsiaTheme="minorEastAsia"/>
          <w:b w:val="0"/>
          <w:bCs w:val="0"/>
          <w:color w:val="auto"/>
          <w:kern w:val="0"/>
          <w:sz w:val="24"/>
          <w:szCs w:val="24"/>
          <w:highlight w:val="none"/>
          <w:lang w:eastAsia="zh-CN"/>
        </w:rPr>
      </w:pPr>
      <w:r>
        <w:rPr>
          <w:rFonts w:hint="eastAsia" w:cs="宋体" w:asciiTheme="minorEastAsia" w:hAnsiTheme="minorEastAsia"/>
          <w:b w:val="0"/>
          <w:bCs w:val="0"/>
          <w:color w:val="auto"/>
          <w:kern w:val="0"/>
          <w:sz w:val="24"/>
          <w:szCs w:val="24"/>
          <w:highlight w:val="none"/>
        </w:rPr>
        <w:t>8.</w:t>
      </w:r>
      <w:r>
        <w:rPr>
          <w:rFonts w:hint="eastAsia" w:cs="宋体" w:asciiTheme="minorEastAsia" w:hAnsiTheme="minorEastAsia"/>
          <w:b w:val="0"/>
          <w:bCs w:val="0"/>
          <w:color w:val="auto"/>
          <w:kern w:val="0"/>
          <w:sz w:val="24"/>
          <w:szCs w:val="24"/>
          <w:highlight w:val="none"/>
          <w:lang w:val="en-US" w:eastAsia="zh-CN"/>
        </w:rPr>
        <w:t>9.</w:t>
      </w:r>
      <w:r>
        <w:rPr>
          <w:rFonts w:hint="eastAsia" w:cs="宋体" w:asciiTheme="minorEastAsia" w:hAnsiTheme="minorEastAsia"/>
          <w:b w:val="0"/>
          <w:bCs w:val="0"/>
          <w:color w:val="auto"/>
          <w:kern w:val="0"/>
          <w:sz w:val="24"/>
          <w:szCs w:val="24"/>
          <w:highlight w:val="none"/>
        </w:rPr>
        <w:t>保修期内，因</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原因造成工程的缺陷、损坏，</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应负责修复，并承担修复的费用以及因工程的缺陷、损坏造成的人身伤害和财产损失</w:t>
      </w:r>
      <w:r>
        <w:rPr>
          <w:rFonts w:hint="eastAsia" w:cs="宋体" w:asciiTheme="minorEastAsia" w:hAnsiTheme="minorEastAsia"/>
          <w:b w:val="0"/>
          <w:bCs w:val="0"/>
          <w:color w:val="auto"/>
          <w:kern w:val="0"/>
          <w:sz w:val="24"/>
          <w:szCs w:val="24"/>
          <w:highlight w:val="none"/>
          <w:lang w:eastAsia="zh-CN"/>
        </w:rPr>
        <w:t>。</w:t>
      </w:r>
    </w:p>
    <w:p w14:paraId="2E1617AC">
      <w:pPr>
        <w:spacing w:line="360" w:lineRule="auto"/>
        <w:ind w:firstLine="480" w:firstLineChars="200"/>
        <w:jc w:val="left"/>
        <w:rPr>
          <w:rFonts w:hint="eastAsia" w:cs="宋体" w:asciiTheme="minorEastAsia" w:hAnsiTheme="minorEastAsia"/>
          <w:b w:val="0"/>
          <w:bCs w:val="0"/>
          <w:color w:val="auto"/>
          <w:kern w:val="0"/>
          <w:sz w:val="24"/>
          <w:szCs w:val="24"/>
          <w:highlight w:val="none"/>
        </w:rPr>
      </w:pPr>
    </w:p>
    <w:p w14:paraId="6F23382D">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报价要求</w:t>
      </w:r>
    </w:p>
    <w:p w14:paraId="194F1E27">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.★本项目设有最高限价，最高限价为人民币XXXX元（¥元），投标人的投标报价超过最高限价的，投标无效。</w:t>
      </w:r>
    </w:p>
    <w:p w14:paraId="019F7722">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9.2.</w:t>
      </w:r>
      <w:r>
        <w:rPr>
          <w:rFonts w:hint="eastAsia" w:ascii="宋体" w:hAnsi="宋体" w:eastAsia="宋体" w:cs="宋体"/>
          <w:b w:val="0"/>
          <w:bCs w:val="0"/>
          <w:color w:val="auto"/>
          <w:kern w:val="0"/>
          <w:sz w:val="24"/>
          <w:szCs w:val="24"/>
          <w:highlight w:val="none"/>
        </w:rPr>
        <w:t>本项目为</w:t>
      </w:r>
      <w:r>
        <w:rPr>
          <w:rFonts w:hint="eastAsia" w:ascii="宋体" w:hAnsi="宋体" w:eastAsia="宋体" w:cs="宋体"/>
          <w:b w:val="0"/>
          <w:bCs w:val="0"/>
          <w:color w:val="auto"/>
          <w:kern w:val="0"/>
          <w:sz w:val="24"/>
          <w:szCs w:val="24"/>
          <w:highlight w:val="none"/>
          <w:lang w:val="en-US" w:eastAsia="zh-CN"/>
        </w:rPr>
        <w:t>交钥匙项目</w:t>
      </w:r>
      <w:r>
        <w:rPr>
          <w:rFonts w:hint="eastAsia" w:ascii="宋体" w:hAnsi="宋体" w:eastAsia="宋体" w:cs="宋体"/>
          <w:b w:val="0"/>
          <w:bCs w:val="0"/>
          <w:color w:val="auto"/>
          <w:kern w:val="0"/>
          <w:sz w:val="24"/>
          <w:szCs w:val="24"/>
          <w:highlight w:val="none"/>
        </w:rPr>
        <w:t>，投标人响应时对本项目所有的内容必须完整响应，否则将视为无效投标。</w:t>
      </w:r>
    </w:p>
    <w:p w14:paraId="66029FD3">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报价应以人民币为货币单位，应分单价、小计和总价。</w:t>
      </w:r>
    </w:p>
    <w:p w14:paraId="774CF87D">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9.4.</w:t>
      </w:r>
      <w:r>
        <w:rPr>
          <w:rFonts w:hint="eastAsia" w:ascii="宋体" w:hAnsi="宋体" w:eastAsia="宋体" w:cs="宋体"/>
          <w:b w:val="0"/>
          <w:bCs w:val="0"/>
          <w:color w:val="auto"/>
          <w:kern w:val="0"/>
          <w:sz w:val="24"/>
          <w:szCs w:val="24"/>
          <w:highlight w:val="none"/>
        </w:rPr>
        <w:t>投标人应充分考虑交货施工期间价格上涨及市场销售价格上涨的风险，且该项风险费在报价中充分考虑。</w:t>
      </w:r>
      <w:r>
        <w:rPr>
          <w:rFonts w:hint="eastAsia" w:ascii="宋体" w:hAnsi="宋体" w:eastAsia="宋体" w:cs="宋体"/>
          <w:b w:val="0"/>
          <w:bCs w:val="0"/>
          <w:color w:val="auto"/>
          <w:kern w:val="0"/>
          <w:sz w:val="24"/>
          <w:szCs w:val="24"/>
          <w:highlight w:val="none"/>
          <w:lang w:val="en-US" w:eastAsia="zh-CN"/>
        </w:rPr>
        <w:t>中标</w:t>
      </w:r>
      <w:r>
        <w:rPr>
          <w:rFonts w:hint="eastAsia" w:ascii="宋体" w:hAnsi="宋体" w:eastAsia="宋体" w:cs="宋体"/>
          <w:b w:val="0"/>
          <w:bCs w:val="0"/>
          <w:color w:val="auto"/>
          <w:kern w:val="0"/>
          <w:sz w:val="24"/>
          <w:szCs w:val="24"/>
          <w:highlight w:val="none"/>
        </w:rPr>
        <w:t>人需负责</w:t>
      </w:r>
      <w:r>
        <w:rPr>
          <w:rFonts w:hint="eastAsia" w:ascii="宋体" w:hAnsi="宋体" w:eastAsia="宋体" w:cs="宋体"/>
          <w:b w:val="0"/>
          <w:bCs w:val="0"/>
          <w:color w:val="auto"/>
          <w:kern w:val="0"/>
          <w:sz w:val="24"/>
          <w:szCs w:val="24"/>
          <w:highlight w:val="none"/>
          <w:lang w:val="en-US" w:eastAsia="zh-CN"/>
        </w:rPr>
        <w:t>项目实施过程中</w:t>
      </w:r>
      <w:r>
        <w:rPr>
          <w:rFonts w:hint="eastAsia" w:ascii="宋体" w:hAnsi="宋体" w:eastAsia="宋体" w:cs="宋体"/>
          <w:b w:val="0"/>
          <w:bCs w:val="0"/>
          <w:color w:val="auto"/>
          <w:kern w:val="0"/>
          <w:sz w:val="24"/>
          <w:szCs w:val="24"/>
          <w:highlight w:val="none"/>
        </w:rPr>
        <w:t>与项目相关部门的所有协调工作，保证项目如期验收通过并投入使用。若因此给</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rPr>
        <w:t>造成损失，均由</w:t>
      </w:r>
      <w:r>
        <w:rPr>
          <w:rFonts w:hint="eastAsia" w:ascii="宋体" w:hAnsi="宋体" w:eastAsia="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rPr>
        <w:t>负责。</w:t>
      </w:r>
    </w:p>
    <w:p w14:paraId="2BBCE3A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9.5.★</w:t>
      </w:r>
      <w:r>
        <w:rPr>
          <w:rFonts w:hint="eastAsia" w:ascii="宋体" w:hAnsi="宋体" w:eastAsia="宋体" w:cs="宋体"/>
          <w:b w:val="0"/>
          <w:bCs w:val="0"/>
          <w:color w:val="auto"/>
          <w:kern w:val="0"/>
          <w:sz w:val="24"/>
          <w:szCs w:val="24"/>
          <w:highlight w:val="none"/>
        </w:rPr>
        <w:t>投标总价为</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清单中所列项目及其附属所需要的全部工作内容，经采购人和有关职能部门竣工验收直至保修期结束所有可能发生的费用，投标报价包括但不限于以下费用：材料费、设备费、安装费、施工费、</w:t>
      </w:r>
      <w:r>
        <w:rPr>
          <w:rFonts w:hint="eastAsia" w:ascii="宋体" w:hAnsi="宋体" w:eastAsia="宋体" w:cs="宋体"/>
          <w:b w:val="0"/>
          <w:bCs w:val="0"/>
          <w:color w:val="auto"/>
          <w:kern w:val="0"/>
          <w:sz w:val="24"/>
          <w:szCs w:val="24"/>
          <w:highlight w:val="none"/>
          <w:lang w:val="en-US" w:eastAsia="zh-CN"/>
        </w:rPr>
        <w:t>施工临时便道费、围挡费、</w:t>
      </w:r>
      <w:r>
        <w:rPr>
          <w:rFonts w:hint="eastAsia" w:ascii="宋体" w:hAnsi="宋体" w:eastAsia="宋体" w:cs="宋体"/>
          <w:b w:val="0"/>
          <w:bCs w:val="0"/>
          <w:color w:val="auto"/>
          <w:kern w:val="0"/>
          <w:sz w:val="24"/>
          <w:szCs w:val="24"/>
          <w:highlight w:val="none"/>
        </w:rPr>
        <w:t>工程措施费、安全生产和文明施工费、包装费、运输费、保险费、装车费、卸车费、保修费、管线恢复费、工程行政规费与税费、管理费、风险费、招标代理费、检测费（含第三方检测）、验收费（含系统调试并经</w:t>
      </w:r>
      <w:r>
        <w:rPr>
          <w:rFonts w:hint="eastAsia" w:ascii="宋体" w:hAnsi="宋体" w:eastAsia="宋体" w:cs="宋体"/>
          <w:b w:val="0"/>
          <w:bCs w:val="0"/>
          <w:color w:val="auto"/>
          <w:kern w:val="0"/>
          <w:sz w:val="24"/>
          <w:szCs w:val="24"/>
          <w:highlight w:val="none"/>
          <w:lang w:val="en-US" w:eastAsia="zh-CN"/>
        </w:rPr>
        <w:t>主管</w:t>
      </w:r>
      <w:r>
        <w:rPr>
          <w:rFonts w:hint="eastAsia" w:ascii="宋体" w:hAnsi="宋体" w:eastAsia="宋体" w:cs="宋体"/>
          <w:b w:val="0"/>
          <w:bCs w:val="0"/>
          <w:color w:val="auto"/>
          <w:kern w:val="0"/>
          <w:sz w:val="24"/>
          <w:szCs w:val="24"/>
          <w:highlight w:val="none"/>
        </w:rPr>
        <w:t>部门验收合格）、技术指导及保修服务（含保修期内的上门服务、可能少报漏报的细目及</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文件的特别规定等一切费用。投标人须于投标文件中提供承诺书。</w:t>
      </w:r>
    </w:p>
    <w:p w14:paraId="78047FC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9.6.</w:t>
      </w:r>
      <w:r>
        <w:rPr>
          <w:rFonts w:hint="eastAsia" w:ascii="宋体" w:hAnsi="宋体" w:eastAsia="宋体" w:cs="宋体"/>
          <w:b w:val="0"/>
          <w:bCs w:val="0"/>
          <w:color w:val="auto"/>
          <w:kern w:val="0"/>
          <w:sz w:val="24"/>
          <w:szCs w:val="24"/>
          <w:highlight w:val="none"/>
        </w:rPr>
        <w:t>因施工现场涉及用地问题，可能涉及供货或施工数量增减，结算时，以实际供应数量与中标单价进行结算，各投标人对此不得有异议，并将此风险考虑在投标报价中。</w:t>
      </w:r>
    </w:p>
    <w:p w14:paraId="3B6D1ED8">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9.7.如因项目变化需要，当采购人对项目采购数量、内容变更时，中标供应 商应接受因变更而引起的供货数量增减，而不影响单价的变更。其供货总价按中标单价和实际供货数量进行结算。</w:t>
      </w:r>
    </w:p>
    <w:p w14:paraId="7DFA15F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9.8.</w:t>
      </w:r>
      <w:r>
        <w:rPr>
          <w:rFonts w:hint="eastAsia" w:ascii="宋体" w:hAnsi="宋体" w:eastAsia="宋体" w:cs="宋体"/>
          <w:b w:val="0"/>
          <w:bCs w:val="0"/>
          <w:color w:val="auto"/>
          <w:kern w:val="0"/>
          <w:sz w:val="24"/>
          <w:szCs w:val="24"/>
          <w:highlight w:val="none"/>
        </w:rPr>
        <w:t>工程竣工结算经采购人审核后报送区财政审核部门审核，区财政审核部门审核数为本项目最终工程结算数。</w:t>
      </w:r>
    </w:p>
    <w:p w14:paraId="083227F0">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投标人漏报的单价或每单价报价中漏报、少报的费用，视为此项费用已隐含在总报价中，中标后不得再向采购人收取任何费用。</w:t>
      </w:r>
    </w:p>
    <w:p w14:paraId="0EE16A27">
      <w:pPr>
        <w:spacing w:line="360" w:lineRule="auto"/>
        <w:ind w:firstLine="480" w:firstLineChars="200"/>
        <w:jc w:val="left"/>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投标人对每一种货物只能有一个报价，采购单位不接受有选择的报价。</w:t>
      </w:r>
    </w:p>
    <w:p w14:paraId="3A32DBB0">
      <w:pPr>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10.支付方式</w:t>
      </w:r>
    </w:p>
    <w:p w14:paraId="5F41D77D">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10.1.本项目设有预付款，预付款比例为合同价款总额的20%；预付款在进度款中100%优先扣回，扣完为止。</w:t>
      </w:r>
    </w:p>
    <w:p w14:paraId="0023B3CE">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付款条件：中标</w:t>
      </w:r>
      <w:r>
        <w:rPr>
          <w:rFonts w:hint="eastAsia" w:ascii="宋体" w:hAnsi="宋体" w:eastAsia="宋体" w:cs="宋体"/>
          <w:b w:val="0"/>
          <w:bCs w:val="0"/>
          <w:color w:val="auto"/>
          <w:kern w:val="0"/>
          <w:sz w:val="24"/>
          <w:szCs w:val="24"/>
          <w:highlight w:val="none"/>
          <w:lang w:val="en-US" w:eastAsia="zh-CN"/>
        </w:rPr>
        <w:t>人</w:t>
      </w:r>
      <w:r>
        <w:rPr>
          <w:rFonts w:hint="default" w:ascii="宋体" w:hAnsi="宋体" w:eastAsia="宋体" w:cs="宋体"/>
          <w:b w:val="0"/>
          <w:bCs w:val="0"/>
          <w:color w:val="auto"/>
          <w:kern w:val="0"/>
          <w:sz w:val="24"/>
          <w:szCs w:val="24"/>
          <w:highlight w:val="none"/>
          <w:lang w:val="en-US" w:eastAsia="zh-CN"/>
        </w:rPr>
        <w:t>要求付款前应提交下列单证和文件。①与付款金额同等额的正式增值税专用发票。②制造厂家出具的货物质量合格证书。③</w:t>
      </w:r>
      <w:r>
        <w:rPr>
          <w:rFonts w:hint="eastAsia" w:ascii="宋体" w:hAnsi="宋体" w:eastAsia="宋体" w:cs="宋体"/>
          <w:b w:val="0"/>
          <w:bCs w:val="0"/>
          <w:color w:val="auto"/>
          <w:kern w:val="0"/>
          <w:sz w:val="24"/>
          <w:szCs w:val="24"/>
          <w:highlight w:val="none"/>
          <w:lang w:val="en-US" w:eastAsia="zh-CN"/>
        </w:rPr>
        <w:t>采购人</w:t>
      </w:r>
      <w:r>
        <w:rPr>
          <w:rFonts w:hint="default" w:ascii="宋体" w:hAnsi="宋体" w:eastAsia="宋体" w:cs="宋体"/>
          <w:b w:val="0"/>
          <w:bCs w:val="0"/>
          <w:color w:val="auto"/>
          <w:kern w:val="0"/>
          <w:sz w:val="24"/>
          <w:szCs w:val="24"/>
          <w:highlight w:val="none"/>
          <w:lang w:val="en-US" w:eastAsia="zh-CN"/>
        </w:rPr>
        <w:t>、监理单位签发的验收合格文件及经监理单位审批的支付款申请。</w:t>
      </w:r>
    </w:p>
    <w:p w14:paraId="1D98A8E5">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工程款支付：</w:t>
      </w:r>
    </w:p>
    <w:p w14:paraId="1BA8E412">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10.2.1.</w:t>
      </w:r>
      <w:r>
        <w:rPr>
          <w:rFonts w:hint="default" w:ascii="宋体" w:hAnsi="宋体" w:eastAsia="宋体" w:cs="宋体"/>
          <w:b w:val="0"/>
          <w:bCs w:val="0"/>
          <w:color w:val="auto"/>
          <w:kern w:val="0"/>
          <w:sz w:val="24"/>
          <w:szCs w:val="24"/>
          <w:highlight w:val="none"/>
          <w:lang w:val="en-US" w:eastAsia="zh-CN"/>
        </w:rPr>
        <w:t>中标人根据施工进度申请支付工程款，工程款达不到 50万元不予支付。</w:t>
      </w:r>
    </w:p>
    <w:p w14:paraId="1919BD2F">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10.2.2.</w:t>
      </w:r>
      <w:r>
        <w:rPr>
          <w:rFonts w:hint="default" w:ascii="宋体" w:hAnsi="宋体" w:eastAsia="宋体" w:cs="宋体"/>
          <w:b w:val="0"/>
          <w:bCs w:val="0"/>
          <w:color w:val="auto"/>
          <w:kern w:val="0"/>
          <w:sz w:val="24"/>
          <w:szCs w:val="24"/>
          <w:highlight w:val="none"/>
          <w:lang w:val="en-US" w:eastAsia="zh-CN"/>
        </w:rPr>
        <w:t xml:space="preserve">监理工程师接到当月进度款报告后5个工作日内予以审核确认，采购人在监理工程师审核确认后5个工作日内予以审核。 </w:t>
      </w:r>
    </w:p>
    <w:p w14:paraId="22A970E9">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10.2.3.</w:t>
      </w:r>
      <w:r>
        <w:rPr>
          <w:rFonts w:hint="default" w:ascii="宋体" w:hAnsi="宋体" w:eastAsia="宋体" w:cs="宋体"/>
          <w:b w:val="0"/>
          <w:bCs w:val="0"/>
          <w:color w:val="auto"/>
          <w:kern w:val="0"/>
          <w:sz w:val="24"/>
          <w:szCs w:val="24"/>
          <w:highlight w:val="none"/>
          <w:lang w:val="en-US" w:eastAsia="zh-CN"/>
        </w:rPr>
        <w:t xml:space="preserve">银行转账方式支付工程进度款，在扣除工程保留金20%后，每次实际银行转账方式支付工程进度款额为当期进度款的80%。 </w:t>
      </w:r>
    </w:p>
    <w:p w14:paraId="43799F47">
      <w:pPr>
        <w:spacing w:line="360" w:lineRule="auto"/>
        <w:ind w:firstLine="720" w:firstLineChars="3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10.2.4.</w:t>
      </w:r>
      <w:r>
        <w:rPr>
          <w:rFonts w:hint="default" w:ascii="宋体" w:hAnsi="宋体" w:eastAsia="宋体" w:cs="宋体"/>
          <w:b w:val="0"/>
          <w:bCs w:val="0"/>
          <w:color w:val="auto"/>
          <w:kern w:val="0"/>
          <w:sz w:val="24"/>
          <w:szCs w:val="24"/>
          <w:highlight w:val="none"/>
          <w:lang w:val="en-US" w:eastAsia="zh-CN"/>
        </w:rPr>
        <w:t>进度款支付累计达到合同价款(扣除暂列金额)的80%时，停止支付进度款</w:t>
      </w:r>
      <w:r>
        <w:rPr>
          <w:rFonts w:hint="eastAsia" w:ascii="宋体" w:hAnsi="宋体" w:eastAsia="宋体" w:cs="宋体"/>
          <w:b w:val="0"/>
          <w:bCs w:val="0"/>
          <w:color w:val="auto"/>
          <w:kern w:val="0"/>
          <w:sz w:val="24"/>
          <w:szCs w:val="24"/>
          <w:highlight w:val="none"/>
          <w:lang w:val="en-US" w:eastAsia="zh-CN"/>
        </w:rPr>
        <w:t>；</w:t>
      </w:r>
    </w:p>
    <w:p w14:paraId="71CB7A63">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10.2.5.</w:t>
      </w:r>
      <w:r>
        <w:rPr>
          <w:rFonts w:hint="default" w:ascii="宋体" w:hAnsi="宋体" w:eastAsia="宋体" w:cs="宋体"/>
          <w:b w:val="0"/>
          <w:bCs w:val="0"/>
          <w:color w:val="auto"/>
          <w:kern w:val="0"/>
          <w:sz w:val="24"/>
          <w:szCs w:val="24"/>
          <w:highlight w:val="none"/>
          <w:lang w:val="en-US" w:eastAsia="zh-CN"/>
        </w:rPr>
        <w:t>采购人在市(区)财政审核部门出具竣工结算审核结论书且移交完成后28天内按审核结果支付至结算价的9</w:t>
      </w:r>
      <w:r>
        <w:rPr>
          <w:rFonts w:hint="eastAsia" w:ascii="宋体" w:hAnsi="宋体" w:eastAsia="宋体" w:cs="宋体"/>
          <w:b w:val="0"/>
          <w:bCs w:val="0"/>
          <w:color w:val="auto"/>
          <w:kern w:val="0"/>
          <w:sz w:val="24"/>
          <w:szCs w:val="24"/>
          <w:highlight w:val="none"/>
          <w:lang w:val="en-US" w:eastAsia="zh-CN"/>
        </w:rPr>
        <w:t>7</w:t>
      </w:r>
      <w:r>
        <w:rPr>
          <w:rFonts w:hint="default" w:ascii="宋体" w:hAnsi="宋体" w:eastAsia="宋体" w:cs="宋体"/>
          <w:b w:val="0"/>
          <w:bCs w:val="0"/>
          <w:color w:val="auto"/>
          <w:kern w:val="0"/>
          <w:sz w:val="24"/>
          <w:szCs w:val="24"/>
          <w:highlight w:val="none"/>
          <w:lang w:val="en-US" w:eastAsia="zh-CN"/>
        </w:rPr>
        <w:t>%。</w:t>
      </w:r>
    </w:p>
    <w:p w14:paraId="33704BF1">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10.2.6.</w:t>
      </w:r>
      <w:r>
        <w:rPr>
          <w:rFonts w:hint="default" w:ascii="宋体" w:hAnsi="宋体" w:eastAsia="宋体" w:cs="宋体"/>
          <w:b w:val="0"/>
          <w:bCs w:val="0"/>
          <w:color w:val="auto"/>
          <w:kern w:val="0"/>
          <w:sz w:val="24"/>
          <w:szCs w:val="24"/>
          <w:highlight w:val="none"/>
          <w:lang w:val="en-US" w:eastAsia="zh-CN"/>
        </w:rPr>
        <w:t>余款在保修期满后28天内一次性结清。以上款项需财政相关资金到达采购人账户后14个工作日内支付，</w:t>
      </w:r>
      <w:r>
        <w:rPr>
          <w:rFonts w:hint="eastAsia" w:ascii="宋体" w:hAnsi="宋体" w:eastAsia="宋体" w:cs="宋体"/>
          <w:b w:val="0"/>
          <w:bCs w:val="0"/>
          <w:color w:val="auto"/>
          <w:kern w:val="0"/>
          <w:sz w:val="24"/>
          <w:szCs w:val="24"/>
          <w:highlight w:val="none"/>
          <w:lang w:val="en-US" w:eastAsia="zh-CN"/>
        </w:rPr>
        <w:t>中标人</w:t>
      </w:r>
      <w:r>
        <w:rPr>
          <w:rFonts w:hint="default" w:ascii="宋体" w:hAnsi="宋体" w:eastAsia="宋体" w:cs="宋体"/>
          <w:b w:val="0"/>
          <w:bCs w:val="0"/>
          <w:color w:val="auto"/>
          <w:kern w:val="0"/>
          <w:sz w:val="24"/>
          <w:szCs w:val="24"/>
          <w:highlight w:val="none"/>
          <w:lang w:val="en-US" w:eastAsia="zh-CN"/>
        </w:rPr>
        <w:t>不得以款项未到位为由消极怠工，拖延工期。</w:t>
      </w:r>
    </w:p>
    <w:p w14:paraId="65C250DC">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、商务条件响应要求</w:t>
      </w:r>
    </w:p>
    <w:p w14:paraId="77DA9E8D">
      <w:pPr>
        <w:spacing w:line="360" w:lineRule="auto"/>
        <w:ind w:firstLine="480" w:firstLineChars="200"/>
        <w:jc w:val="left"/>
        <w:rPr>
          <w:rFonts w:cs="宋体" w:asciiTheme="minorEastAsia" w:hAnsiTheme="minorEastAsia"/>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.1</w:t>
      </w:r>
      <w:r>
        <w:rPr>
          <w:rFonts w:hint="eastAsia" w:cs="宋体" w:asciiTheme="minorEastAsia" w:hAnsiTheme="minorEastAsia"/>
          <w:bCs/>
          <w:color w:val="auto"/>
          <w:kern w:val="0"/>
          <w:sz w:val="24"/>
          <w:szCs w:val="24"/>
          <w:highlight w:val="none"/>
        </w:rPr>
        <w:t>投标人应根据商务条件要求及商务项评分条款提供相应的交付时间、售后服务、认证等证书、业绩经验，</w:t>
      </w:r>
      <w:r>
        <w:rPr>
          <w:rFonts w:hint="eastAsia" w:ascii="宋体" w:hAnsi="宋体" w:eastAsia="宋体"/>
          <w:color w:val="auto"/>
          <w:sz w:val="24"/>
          <w:szCs w:val="28"/>
          <w:highlight w:val="none"/>
        </w:rPr>
        <w:t>并按要求提供相应的佐证材料，</w:t>
      </w:r>
      <w:r>
        <w:rPr>
          <w:rFonts w:hint="eastAsia" w:cs="宋体" w:asciiTheme="minorEastAsia" w:hAnsiTheme="minorEastAsia"/>
          <w:bCs/>
          <w:color w:val="auto"/>
          <w:kern w:val="0"/>
          <w:sz w:val="24"/>
          <w:szCs w:val="24"/>
          <w:highlight w:val="none"/>
        </w:rPr>
        <w:t>未按要求提供的将可能导致不得分。</w:t>
      </w:r>
    </w:p>
    <w:p w14:paraId="2BB34FE7">
      <w:pPr>
        <w:spacing w:line="360" w:lineRule="auto"/>
        <w:ind w:firstLine="480" w:firstLineChars="200"/>
        <w:rPr>
          <w:rFonts w:asciiTheme="minorEastAsia" w:hAnsiTheme="minorEastAsia"/>
          <w:color w:val="auto"/>
          <w:sz w:val="24"/>
          <w:szCs w:val="28"/>
          <w:highlight w:val="none"/>
        </w:rPr>
      </w:pPr>
    </w:p>
    <w:p w14:paraId="54ACD69B">
      <w:pPr>
        <w:spacing w:line="360" w:lineRule="auto"/>
        <w:jc w:val="left"/>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补充条款：</w:t>
      </w:r>
    </w:p>
    <w:p w14:paraId="2DF03417">
      <w:pPr>
        <w:spacing w:line="360" w:lineRule="auto"/>
        <w:jc w:val="left"/>
        <w:rPr>
          <w:rFonts w:ascii="楷体" w:hAnsi="楷体" w:eastAsia="楷体" w:cs="宋体"/>
          <w:b/>
          <w:color w:val="auto"/>
          <w:kern w:val="0"/>
          <w:sz w:val="32"/>
          <w:szCs w:val="24"/>
          <w:highlight w:val="none"/>
        </w:rPr>
      </w:pPr>
      <w:r>
        <w:rPr>
          <w:rFonts w:hint="eastAsia" w:ascii="楷体" w:hAnsi="楷体" w:eastAsia="楷体" w:cs="宋体"/>
          <w:b/>
          <w:color w:val="auto"/>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color w:val="auto"/>
          <w:kern w:val="0"/>
          <w:sz w:val="32"/>
          <w:szCs w:val="24"/>
          <w:highlight w:val="none"/>
        </w:rPr>
        <w:t xml:space="preserve"> </w:t>
      </w:r>
    </w:p>
    <w:p w14:paraId="03C0EE74">
      <w:pPr>
        <w:spacing w:line="360" w:lineRule="auto"/>
        <w:rPr>
          <w:rFonts w:ascii="黑体" w:hAnsi="黑体" w:eastAsia="黑体"/>
          <w:b/>
          <w:color w:val="auto"/>
          <w:sz w:val="32"/>
          <w:szCs w:val="32"/>
          <w:highlight w:val="none"/>
        </w:rPr>
      </w:pPr>
      <w:bookmarkStart w:id="22" w:name="_Toc100307865"/>
      <w:r>
        <w:rPr>
          <w:rFonts w:hint="eastAsia" w:ascii="黑体" w:hAnsi="黑体" w:eastAsia="黑体"/>
          <w:b/>
          <w:color w:val="auto"/>
          <w:sz w:val="32"/>
          <w:szCs w:val="32"/>
          <w:highlight w:val="none"/>
        </w:rPr>
        <w:t>一、对《第二章  投标人须知前附表》的内容补充如下：</w:t>
      </w:r>
      <w:bookmarkEnd w:id="22"/>
    </w:p>
    <w:p w14:paraId="269C7C1B">
      <w:pPr>
        <w:spacing w:line="360" w:lineRule="auto"/>
        <w:jc w:val="center"/>
        <w:rPr>
          <w:rFonts w:ascii="黑体" w:hAnsi="黑体" w:eastAsia="黑体" w:cs="宋体"/>
          <w:b/>
          <w:color w:val="auto"/>
          <w:kern w:val="0"/>
          <w:sz w:val="28"/>
          <w:szCs w:val="24"/>
          <w:highlight w:val="none"/>
        </w:rPr>
      </w:pPr>
      <w:r>
        <w:rPr>
          <w:rFonts w:hint="eastAsia" w:ascii="黑体" w:hAnsi="黑体" w:eastAsia="黑体" w:cs="宋体"/>
          <w:b/>
          <w:color w:val="auto"/>
          <w:kern w:val="0"/>
          <w:sz w:val="28"/>
          <w:szCs w:val="24"/>
          <w:highlight w:val="none"/>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21A6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53B1B7">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项号</w:t>
            </w:r>
          </w:p>
        </w:tc>
        <w:tc>
          <w:tcPr>
            <w:tcW w:w="1401" w:type="dxa"/>
            <w:vAlign w:val="center"/>
          </w:tcPr>
          <w:p w14:paraId="6D668164">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招标文件</w:t>
            </w:r>
          </w:p>
          <w:p w14:paraId="44D8421C">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（第三章）</w:t>
            </w:r>
          </w:p>
        </w:tc>
        <w:tc>
          <w:tcPr>
            <w:tcW w:w="6999" w:type="dxa"/>
            <w:vAlign w:val="center"/>
          </w:tcPr>
          <w:p w14:paraId="2F77E743">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编列内容</w:t>
            </w:r>
          </w:p>
        </w:tc>
      </w:tr>
      <w:tr w14:paraId="04B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2BE15D7">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8</w:t>
            </w:r>
          </w:p>
        </w:tc>
        <w:tc>
          <w:tcPr>
            <w:tcW w:w="1401" w:type="dxa"/>
            <w:vAlign w:val="center"/>
          </w:tcPr>
          <w:p w14:paraId="78BFE88B">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15.1-（2）</w:t>
            </w:r>
          </w:p>
        </w:tc>
        <w:tc>
          <w:tcPr>
            <w:tcW w:w="6999" w:type="dxa"/>
          </w:tcPr>
          <w:p w14:paraId="41DE61AF">
            <w:pPr>
              <w:spacing w:line="360" w:lineRule="auto"/>
              <w:jc w:val="left"/>
              <w:rPr>
                <w:rFonts w:ascii="宋体" w:hAnsi="宋体" w:eastAsia="宋体" w:cs="宋体"/>
                <w:b/>
                <w:bCs/>
                <w:color w:val="auto"/>
                <w:kern w:val="0"/>
                <w:sz w:val="24"/>
                <w:szCs w:val="20"/>
                <w:highlight w:val="none"/>
              </w:rPr>
            </w:pPr>
            <w:r>
              <w:rPr>
                <w:rFonts w:ascii="宋体" w:hAnsi="宋体" w:eastAsia="宋体" w:cs="宋体"/>
                <w:b/>
                <w:bCs/>
                <w:color w:val="auto"/>
                <w:kern w:val="0"/>
                <w:sz w:val="24"/>
                <w:szCs w:val="20"/>
                <w:highlight w:val="none"/>
              </w:rPr>
              <w:t>质疑函应采用下列方式之一提交：</w:t>
            </w:r>
          </w:p>
          <w:p w14:paraId="6913470D">
            <w:pPr>
              <w:spacing w:line="360" w:lineRule="auto"/>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（1）邮件形式：将质疑函原件扫描发送至邮箱：</w:t>
            </w:r>
            <w:r>
              <w:rPr>
                <w:rFonts w:hint="eastAsia" w:ascii="宋体" w:hAnsi="宋体" w:eastAsia="宋体" w:cs="Times New Roman"/>
                <w:color w:val="auto"/>
                <w:kern w:val="0"/>
                <w:sz w:val="24"/>
                <w:szCs w:val="20"/>
                <w:highlight w:val="none"/>
                <w:lang w:eastAsia="zh-CN"/>
              </w:rPr>
              <w:t>443272892@qq.com</w:t>
            </w:r>
            <w:r>
              <w:rPr>
                <w:rFonts w:hint="eastAsia" w:ascii="宋体" w:hAnsi="宋体" w:eastAsia="宋体" w:cs="Times New Roman"/>
                <w:color w:val="auto"/>
                <w:kern w:val="0"/>
                <w:sz w:val="24"/>
                <w:szCs w:val="20"/>
                <w:highlight w:val="none"/>
              </w:rPr>
              <w:t>。收到质疑函的时间以邮箱显示的收到时间为准。质疑答复过程中需要核对原件的，质疑人应提供原件核查，否则相关资料可能不被认可。</w:t>
            </w:r>
          </w:p>
          <w:p w14:paraId="1A9927C6">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（2）快递形式：</w:t>
            </w:r>
            <w:r>
              <w:rPr>
                <w:rFonts w:hint="eastAsia" w:ascii="宋体" w:hAnsi="宋体" w:eastAsia="宋体" w:cs="宋体"/>
                <w:bCs/>
                <w:color w:val="auto"/>
                <w:kern w:val="0"/>
                <w:sz w:val="24"/>
                <w:szCs w:val="20"/>
                <w:highlight w:val="none"/>
              </w:rPr>
              <w:t>将质疑函原件快递至</w:t>
            </w:r>
            <w:r>
              <w:rPr>
                <w:rFonts w:hint="eastAsia" w:ascii="宋体" w:hAnsi="宋体" w:eastAsia="宋体" w:cs="宋体"/>
                <w:bCs/>
                <w:color w:val="auto"/>
                <w:kern w:val="0"/>
                <w:sz w:val="24"/>
                <w:szCs w:val="20"/>
                <w:highlight w:val="none"/>
                <w:lang w:eastAsia="zh-CN"/>
              </w:rPr>
              <w:t>厦门市同安区大同街道后炉社区北镇二里9-7号</w:t>
            </w:r>
            <w:r>
              <w:rPr>
                <w:rFonts w:hint="eastAsia" w:ascii="宋体" w:hAnsi="宋体" w:eastAsia="宋体" w:cs="宋体"/>
                <w:bCs/>
                <w:color w:val="auto"/>
                <w:kern w:val="0"/>
                <w:sz w:val="24"/>
                <w:szCs w:val="20"/>
                <w:highlight w:val="none"/>
              </w:rPr>
              <w:t>，收件人：</w:t>
            </w:r>
            <w:r>
              <w:rPr>
                <w:rFonts w:hint="eastAsia" w:ascii="宋体" w:hAnsi="宋体" w:eastAsia="宋体" w:cs="宋体"/>
                <w:bCs/>
                <w:color w:val="auto"/>
                <w:kern w:val="0"/>
                <w:sz w:val="24"/>
                <w:szCs w:val="20"/>
                <w:highlight w:val="none"/>
                <w:lang w:val="en-US" w:eastAsia="zh-CN"/>
              </w:rPr>
              <w:t>吴女士</w:t>
            </w:r>
            <w:r>
              <w:rPr>
                <w:rFonts w:hint="eastAsia" w:ascii="宋体" w:hAnsi="宋体" w:eastAsia="宋体" w:cs="宋体"/>
                <w:bCs/>
                <w:color w:val="auto"/>
                <w:kern w:val="0"/>
                <w:sz w:val="24"/>
                <w:szCs w:val="20"/>
                <w:highlight w:val="none"/>
              </w:rPr>
              <w:t>，电话：</w:t>
            </w:r>
            <w:r>
              <w:rPr>
                <w:rFonts w:hint="eastAsia" w:ascii="宋体" w:hAnsi="宋体" w:eastAsia="宋体" w:cs="宋体"/>
                <w:bCs/>
                <w:color w:val="auto"/>
                <w:kern w:val="0"/>
                <w:sz w:val="24"/>
                <w:szCs w:val="20"/>
                <w:highlight w:val="none"/>
                <w:lang w:eastAsia="zh-CN"/>
              </w:rPr>
              <w:t>13003938836</w:t>
            </w:r>
            <w:r>
              <w:rPr>
                <w:rFonts w:hint="eastAsia" w:ascii="宋体" w:hAnsi="宋体" w:eastAsia="宋体" w:cs="宋体"/>
                <w:bCs/>
                <w:color w:val="auto"/>
                <w:kern w:val="0"/>
                <w:sz w:val="24"/>
                <w:szCs w:val="20"/>
                <w:highlight w:val="none"/>
              </w:rPr>
              <w:t>。收到质疑函的时间以快递签收时间为准</w:t>
            </w:r>
            <w:r>
              <w:rPr>
                <w:rFonts w:hint="eastAsia" w:ascii="宋体" w:hAnsi="宋体" w:eastAsia="宋体" w:cs="Times New Roman"/>
                <w:color w:val="auto"/>
                <w:kern w:val="0"/>
                <w:sz w:val="24"/>
                <w:szCs w:val="20"/>
                <w:highlight w:val="none"/>
              </w:rPr>
              <w:t>。</w:t>
            </w:r>
          </w:p>
          <w:p w14:paraId="5E9A957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宋体"/>
                <w:color w:val="auto"/>
                <w:kern w:val="0"/>
                <w:sz w:val="24"/>
                <w:szCs w:val="20"/>
                <w:highlight w:val="none"/>
              </w:rPr>
              <w:t>（3）现场送达：将质疑函原件现场送至</w:t>
            </w:r>
            <w:r>
              <w:rPr>
                <w:rFonts w:hint="eastAsia" w:ascii="宋体" w:hAnsi="宋体" w:eastAsia="宋体" w:cs="宋体"/>
                <w:color w:val="auto"/>
                <w:kern w:val="0"/>
                <w:sz w:val="24"/>
                <w:szCs w:val="20"/>
                <w:highlight w:val="none"/>
                <w:lang w:eastAsia="zh-CN"/>
              </w:rPr>
              <w:t>厦门市同安区大同街道后炉社区北镇二里9-7号</w:t>
            </w:r>
            <w:r>
              <w:rPr>
                <w:rFonts w:hint="eastAsia" w:ascii="宋体" w:hAnsi="宋体" w:eastAsia="宋体" w:cs="宋体"/>
                <w:color w:val="auto"/>
                <w:kern w:val="0"/>
                <w:sz w:val="24"/>
                <w:szCs w:val="20"/>
                <w:highlight w:val="none"/>
              </w:rPr>
              <w:t>。收到质疑函的时间以</w:t>
            </w:r>
            <w:r>
              <w:rPr>
                <w:rFonts w:hint="eastAsia" w:ascii="宋体" w:hAnsi="宋体" w:eastAsia="宋体" w:cs="宋体"/>
                <w:color w:val="auto"/>
                <w:kern w:val="0"/>
                <w:sz w:val="24"/>
                <w:szCs w:val="20"/>
                <w:highlight w:val="none"/>
                <w:lang w:val="en-US" w:eastAsia="zh-CN"/>
              </w:rPr>
              <w:t>代理机构工作人员</w:t>
            </w:r>
            <w:r>
              <w:rPr>
                <w:rFonts w:hint="eastAsia" w:ascii="宋体" w:hAnsi="宋体" w:eastAsia="宋体" w:cs="宋体"/>
                <w:color w:val="auto"/>
                <w:kern w:val="0"/>
                <w:sz w:val="24"/>
                <w:szCs w:val="20"/>
                <w:highlight w:val="none"/>
              </w:rPr>
              <w:t>签收时间为准。</w:t>
            </w:r>
          </w:p>
          <w:p w14:paraId="2ACA8EA7">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注：提交质疑函须附上系统报名截图，质疑函须符合第三章第15条质疑的要求。</w:t>
            </w:r>
          </w:p>
        </w:tc>
      </w:tr>
      <w:tr w14:paraId="32F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68B09D">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12</w:t>
            </w:r>
          </w:p>
        </w:tc>
        <w:tc>
          <w:tcPr>
            <w:tcW w:w="1401" w:type="dxa"/>
            <w:vAlign w:val="center"/>
          </w:tcPr>
          <w:p w14:paraId="07C872B5">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w:t>
            </w:r>
          </w:p>
        </w:tc>
        <w:tc>
          <w:tcPr>
            <w:tcW w:w="6999" w:type="dxa"/>
          </w:tcPr>
          <w:p w14:paraId="1D44EE60">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本项目的核心产品为：</w:t>
            </w:r>
          </w:p>
          <w:p w14:paraId="6FB3D3A2">
            <w:pPr>
              <w:spacing w:line="360" w:lineRule="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rPr>
              <w:t>采购包1：翻板闸</w:t>
            </w:r>
          </w:p>
          <w:p w14:paraId="6A63BB98">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注：多家投标人提供的核心产品中有任意一个对应产品品牌相同的，按照第四章第6.4条第（2）款第①、②规定处理。</w:t>
            </w:r>
          </w:p>
        </w:tc>
      </w:tr>
    </w:tbl>
    <w:p w14:paraId="5DF18834">
      <w:pPr>
        <w:spacing w:line="360" w:lineRule="auto"/>
        <w:jc w:val="left"/>
        <w:rPr>
          <w:rFonts w:ascii="宋体" w:hAnsi="宋体" w:eastAsia="宋体" w:cs="宋体"/>
          <w:color w:val="auto"/>
          <w:kern w:val="0"/>
          <w:sz w:val="18"/>
          <w:szCs w:val="18"/>
          <w:highlight w:val="none"/>
        </w:rPr>
      </w:pPr>
    </w:p>
    <w:p w14:paraId="52961BEB">
      <w:pPr>
        <w:spacing w:line="360" w:lineRule="auto"/>
        <w:rPr>
          <w:rFonts w:ascii="黑体" w:hAnsi="黑体" w:eastAsia="黑体"/>
          <w:b/>
          <w:color w:val="auto"/>
          <w:sz w:val="32"/>
          <w:szCs w:val="32"/>
          <w:highlight w:val="none"/>
        </w:rPr>
      </w:pPr>
      <w:bookmarkStart w:id="23" w:name="_Toc100307866"/>
      <w:r>
        <w:rPr>
          <w:rFonts w:hint="eastAsia" w:ascii="黑体" w:hAnsi="黑体" w:eastAsia="黑体"/>
          <w:b/>
          <w:color w:val="auto"/>
          <w:sz w:val="32"/>
          <w:szCs w:val="32"/>
          <w:highlight w:val="none"/>
        </w:rPr>
        <w:t>二、对《第三章  投标人须知》的内容补充如下：</w:t>
      </w:r>
      <w:bookmarkEnd w:id="23"/>
    </w:p>
    <w:p w14:paraId="1BE92BAC">
      <w:pPr>
        <w:spacing w:line="360" w:lineRule="auto"/>
        <w:rPr>
          <w:rFonts w:ascii="黑体" w:hAnsi="黑体" w:eastAsia="黑体"/>
          <w:b/>
          <w:color w:val="auto"/>
          <w:sz w:val="32"/>
          <w:szCs w:val="32"/>
          <w:highlight w:val="none"/>
        </w:rPr>
      </w:pPr>
      <w:bookmarkStart w:id="24" w:name="_Toc100307867"/>
      <w:r>
        <w:rPr>
          <w:rFonts w:hint="eastAsia" w:ascii="黑体" w:hAnsi="黑体" w:eastAsia="黑体"/>
          <w:b/>
          <w:color w:val="auto"/>
          <w:sz w:val="32"/>
          <w:szCs w:val="32"/>
          <w:highlight w:val="none"/>
        </w:rPr>
        <w:t>（一）《八、政府采购政策》内容补充如下：</w:t>
      </w:r>
      <w:bookmarkEnd w:id="24"/>
    </w:p>
    <w:p w14:paraId="570EA66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预留份额专门面向中小企业采购要求：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837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724D907">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中型、小型、微型企业界定</w:t>
            </w:r>
          </w:p>
        </w:tc>
        <w:tc>
          <w:tcPr>
            <w:tcW w:w="7193" w:type="dxa"/>
            <w:vAlign w:val="center"/>
          </w:tcPr>
          <w:p w14:paraId="1BF3DCDF">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详见第三章第17.3条的相关规定。</w:t>
            </w:r>
          </w:p>
        </w:tc>
      </w:tr>
      <w:tr w14:paraId="3C4C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3EB97B8">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需满足的条件</w:t>
            </w:r>
          </w:p>
        </w:tc>
        <w:tc>
          <w:tcPr>
            <w:tcW w:w="7193" w:type="dxa"/>
            <w:vAlign w:val="center"/>
          </w:tcPr>
          <w:p w14:paraId="13418A2E">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由</w:t>
            </w:r>
            <w:r>
              <w:rPr>
                <w:rFonts w:hint="eastAsia" w:ascii="宋体" w:hAnsi="宋体" w:eastAsia="宋体" w:cs="Times New Roman"/>
                <w:color w:val="auto"/>
                <w:sz w:val="24"/>
                <w:szCs w:val="28"/>
                <w:highlight w:val="none"/>
              </w:rPr>
              <w:t>中型、小型、微型企业制造的投标货物需达到</w:t>
            </w:r>
            <w:r>
              <w:rPr>
                <w:rFonts w:hint="eastAsia" w:ascii="宋体" w:hAnsi="宋体" w:eastAsia="宋体" w:cs="Times New Roman"/>
                <w:color w:val="auto"/>
                <w:kern w:val="0"/>
                <w:sz w:val="24"/>
                <w:szCs w:val="28"/>
                <w:highlight w:val="none"/>
              </w:rPr>
              <w:t>特定资格条件要求的比例，否则投标无效。</w:t>
            </w:r>
          </w:p>
        </w:tc>
      </w:tr>
      <w:tr w14:paraId="36E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CD6BAD8">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需提供的材料</w:t>
            </w:r>
          </w:p>
        </w:tc>
        <w:tc>
          <w:tcPr>
            <w:tcW w:w="7193" w:type="dxa"/>
            <w:vAlign w:val="center"/>
          </w:tcPr>
          <w:p w14:paraId="52114170">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投标文件中需提供《中小企业声明函》。若制造企业为监狱企业、残疾人福利性单位的，可不填写《中小企业声明函》，按第三章第17.3条的相关要求提供相应材料即可。</w:t>
            </w:r>
          </w:p>
        </w:tc>
      </w:tr>
      <w:tr w14:paraId="3308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B4F6D19">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注意事项</w:t>
            </w:r>
          </w:p>
        </w:tc>
        <w:tc>
          <w:tcPr>
            <w:tcW w:w="7193" w:type="dxa"/>
            <w:vAlign w:val="center"/>
          </w:tcPr>
          <w:p w14:paraId="1F55D5E1">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1、请投标人根据《关于印发中小企业划型标准规定的通知》（工信部联企业〔2011〕300号）规定的标准对企业规模进行认定。</w:t>
            </w:r>
          </w:p>
          <w:p w14:paraId="76B41FE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7A102FC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3、投标人需对声明的真实性负责，中标结果将同时公告</w:t>
            </w:r>
            <w:r>
              <w:rPr>
                <w:rFonts w:hint="eastAsia" w:ascii="宋体" w:hAnsi="宋体" w:eastAsia="宋体" w:cs="Times New Roman"/>
                <w:color w:val="auto"/>
                <w:kern w:val="0"/>
                <w:sz w:val="24"/>
                <w:szCs w:val="28"/>
                <w:highlight w:val="none"/>
                <w:lang w:eastAsia="zh-CN"/>
              </w:rPr>
              <w:t>中标人</w:t>
            </w:r>
            <w:r>
              <w:rPr>
                <w:rFonts w:hint="eastAsia" w:ascii="宋体" w:hAnsi="宋体" w:eastAsia="宋体" w:cs="Times New Roman"/>
                <w:color w:val="auto"/>
                <w:kern w:val="0"/>
                <w:sz w:val="24"/>
                <w:szCs w:val="28"/>
                <w:highlight w:val="none"/>
              </w:rPr>
              <w:t>的《中小企业声明函》，投标人提供的声明函内容不实的，则属于提供虚假材料谋取中标情形，依照《政府采购法》等国家有关规定追究相应责任。</w:t>
            </w:r>
          </w:p>
        </w:tc>
      </w:tr>
      <w:tr w14:paraId="3DC8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2832F02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注：1、中小企业包括中型企业、小型企业、微型企业。</w:t>
            </w:r>
          </w:p>
          <w:p w14:paraId="34F2BB8C">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w:t>
            </w:r>
            <w:r>
              <w:rPr>
                <w:rFonts w:hint="eastAsia" w:ascii="宋体" w:hAnsi="宋体" w:eastAsia="宋体" w:cs="Times New Roman"/>
                <w:color w:val="auto"/>
                <w:sz w:val="24"/>
                <w:szCs w:val="28"/>
                <w:highlight w:val="none"/>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color w:val="auto"/>
                <w:sz w:val="24"/>
                <w:szCs w:val="28"/>
                <w:highlight w:val="none"/>
              </w:rPr>
              <w:t>https：//zfcg.czt.fujian.gov.cn/zcdservice/zcd/home/index</w:t>
            </w:r>
            <w:r>
              <w:rPr>
                <w:rFonts w:hint="eastAsia" w:ascii="宋体" w:hAnsi="宋体" w:eastAsia="宋体" w:cs="Times New Roman"/>
                <w:color w:val="auto"/>
                <w:sz w:val="24"/>
                <w:szCs w:val="28"/>
                <w:highlight w:val="none"/>
              </w:rPr>
              <w:t>）办理合同融资。</w:t>
            </w:r>
          </w:p>
        </w:tc>
      </w:tr>
    </w:tbl>
    <w:p w14:paraId="737EBD9B">
      <w:pPr>
        <w:spacing w:line="360" w:lineRule="auto"/>
        <w:rPr>
          <w:rFonts w:ascii="宋体" w:hAnsi="宋体" w:eastAsia="宋体" w:cs="宋体"/>
          <w:color w:val="auto"/>
          <w:kern w:val="0"/>
          <w:sz w:val="24"/>
          <w:szCs w:val="24"/>
          <w:highlight w:val="none"/>
        </w:rPr>
      </w:pPr>
    </w:p>
    <w:p w14:paraId="5ED282EE">
      <w:pPr>
        <w:spacing w:line="360" w:lineRule="auto"/>
        <w:rPr>
          <w:rFonts w:ascii="宋体" w:hAnsi="宋体" w:eastAsia="宋体" w:cs="宋体"/>
          <w:color w:val="auto"/>
          <w:kern w:val="0"/>
          <w:sz w:val="24"/>
          <w:szCs w:val="24"/>
          <w:highlight w:val="none"/>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4DD9837E">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三、对《第七章  电子投标文件格式》的内容补充如下：</w:t>
      </w:r>
    </w:p>
    <w:p w14:paraId="5329C34B">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（一）《资格及资信证明部分》的格式补充如下：</w:t>
      </w:r>
    </w:p>
    <w:p w14:paraId="0F5384BF">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二-</w:t>
      </w:r>
      <w:r>
        <w:rPr>
          <w:rFonts w:hint="eastAsia" w:ascii="黑体" w:hAnsi="黑体" w:eastAsia="黑体" w:cs="宋体"/>
          <w:b/>
          <w:bCs/>
          <w:color w:val="auto"/>
          <w:kern w:val="0"/>
          <w:sz w:val="28"/>
          <w:szCs w:val="18"/>
          <w:highlight w:val="none"/>
        </w:rPr>
        <w:t>9</w:t>
      </w:r>
      <w:r>
        <w:rPr>
          <w:rFonts w:ascii="黑体" w:hAnsi="黑体" w:eastAsia="黑体" w:cs="宋体"/>
          <w:b/>
          <w:bCs/>
          <w:color w:val="auto"/>
          <w:kern w:val="0"/>
          <w:sz w:val="28"/>
          <w:szCs w:val="18"/>
          <w:highlight w:val="none"/>
        </w:rPr>
        <w:t>中小企业声明函</w:t>
      </w:r>
    </w:p>
    <w:p w14:paraId="53CCB9E6">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预留份额专门面向中小企业采购</w:t>
      </w:r>
      <w:r>
        <w:rPr>
          <w:rFonts w:ascii="Times New Roman" w:hAnsi="Times New Roman" w:eastAsia="宋体" w:cs="Times New Roman"/>
          <w:color w:val="auto"/>
          <w:sz w:val="24"/>
          <w:szCs w:val="24"/>
          <w:highlight w:val="none"/>
        </w:rPr>
        <w:t>项目适用）</w:t>
      </w:r>
    </w:p>
    <w:p w14:paraId="57678B99">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中小企业声明函（货物）</w:t>
      </w:r>
    </w:p>
    <w:p w14:paraId="6217D5A9">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号）的规定，本公司（联合体）参加【单位名称】的【项目名称】采购活动，属于【工业】行业，提供的货物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0A5D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1" w:type="dxa"/>
            <w:vAlign w:val="center"/>
          </w:tcPr>
          <w:p w14:paraId="42859062">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序号</w:t>
            </w:r>
          </w:p>
        </w:tc>
        <w:tc>
          <w:tcPr>
            <w:tcW w:w="1402" w:type="dxa"/>
            <w:vAlign w:val="center"/>
          </w:tcPr>
          <w:p w14:paraId="6D7D533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标的名称</w:t>
            </w:r>
          </w:p>
        </w:tc>
        <w:tc>
          <w:tcPr>
            <w:tcW w:w="843" w:type="dxa"/>
            <w:vAlign w:val="center"/>
          </w:tcPr>
          <w:p w14:paraId="15A5CE9F">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行业</w:t>
            </w:r>
          </w:p>
        </w:tc>
        <w:tc>
          <w:tcPr>
            <w:tcW w:w="932" w:type="dxa"/>
            <w:vAlign w:val="center"/>
          </w:tcPr>
          <w:p w14:paraId="70A5581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制造商全称</w:t>
            </w:r>
          </w:p>
        </w:tc>
        <w:tc>
          <w:tcPr>
            <w:tcW w:w="936" w:type="dxa"/>
            <w:vAlign w:val="center"/>
          </w:tcPr>
          <w:p w14:paraId="06E51F00">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从业</w:t>
            </w:r>
          </w:p>
          <w:p w14:paraId="406EACA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人员</w:t>
            </w:r>
          </w:p>
          <w:p w14:paraId="39BE4EB1">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w:t>
            </w:r>
          </w:p>
        </w:tc>
        <w:tc>
          <w:tcPr>
            <w:tcW w:w="1084" w:type="dxa"/>
            <w:vAlign w:val="center"/>
          </w:tcPr>
          <w:p w14:paraId="46EA07E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营业</w:t>
            </w:r>
          </w:p>
          <w:p w14:paraId="3ACB64E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收入</w:t>
            </w:r>
          </w:p>
          <w:p w14:paraId="6A87C33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1134" w:type="dxa"/>
            <w:vAlign w:val="center"/>
          </w:tcPr>
          <w:p w14:paraId="2178078B">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资产</w:t>
            </w:r>
          </w:p>
          <w:p w14:paraId="3FE6BBB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总额</w:t>
            </w:r>
          </w:p>
          <w:p w14:paraId="648038E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2268" w:type="dxa"/>
            <w:vAlign w:val="center"/>
          </w:tcPr>
          <w:p w14:paraId="7E068BCC">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企业类型</w:t>
            </w:r>
          </w:p>
          <w:p w14:paraId="0E9D04F3">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（根据划型标准填写中型企业或小型企业或微型企业）</w:t>
            </w:r>
          </w:p>
        </w:tc>
      </w:tr>
      <w:tr w14:paraId="5E7D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57EEEC5C">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1</w:t>
            </w:r>
          </w:p>
        </w:tc>
        <w:tc>
          <w:tcPr>
            <w:tcW w:w="1402" w:type="dxa"/>
            <w:vAlign w:val="center"/>
          </w:tcPr>
          <w:p w14:paraId="4656A79D">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35A459C4">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工业</w:t>
            </w:r>
          </w:p>
        </w:tc>
        <w:tc>
          <w:tcPr>
            <w:tcW w:w="932" w:type="dxa"/>
            <w:vAlign w:val="center"/>
          </w:tcPr>
          <w:p w14:paraId="3315695D">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6D87ABA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16C09862">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1D1F3E4">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7966959">
            <w:pPr>
              <w:spacing w:line="360" w:lineRule="auto"/>
              <w:jc w:val="center"/>
              <w:rPr>
                <w:rFonts w:ascii="宋体" w:hAnsi="宋体" w:eastAsia="宋体" w:cs="Times New Roman"/>
                <w:color w:val="auto"/>
                <w:kern w:val="0"/>
                <w:sz w:val="24"/>
                <w:szCs w:val="32"/>
                <w:highlight w:val="none"/>
              </w:rPr>
            </w:pPr>
          </w:p>
        </w:tc>
      </w:tr>
      <w:tr w14:paraId="7316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157CCA4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2</w:t>
            </w:r>
          </w:p>
        </w:tc>
        <w:tc>
          <w:tcPr>
            <w:tcW w:w="1402" w:type="dxa"/>
            <w:vAlign w:val="center"/>
          </w:tcPr>
          <w:p w14:paraId="01D77B36">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2A67B462">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工业</w:t>
            </w:r>
          </w:p>
        </w:tc>
        <w:tc>
          <w:tcPr>
            <w:tcW w:w="932" w:type="dxa"/>
            <w:vAlign w:val="center"/>
          </w:tcPr>
          <w:p w14:paraId="27839E82">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76C3C0FD">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4CB2FD51">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397C0708">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319B7CF">
            <w:pPr>
              <w:spacing w:line="360" w:lineRule="auto"/>
              <w:jc w:val="center"/>
              <w:rPr>
                <w:rFonts w:ascii="宋体" w:hAnsi="宋体" w:eastAsia="宋体" w:cs="Times New Roman"/>
                <w:color w:val="auto"/>
                <w:kern w:val="0"/>
                <w:sz w:val="24"/>
                <w:szCs w:val="32"/>
                <w:highlight w:val="none"/>
              </w:rPr>
            </w:pPr>
          </w:p>
        </w:tc>
      </w:tr>
      <w:tr w14:paraId="55C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9DC8AB3">
            <w:pPr>
              <w:spacing w:line="360" w:lineRule="auto"/>
              <w:jc w:val="center"/>
              <w:rPr>
                <w:rFonts w:ascii="宋体" w:hAnsi="宋体" w:eastAsia="宋体" w:cs="Times New Roman"/>
                <w:color w:val="auto"/>
                <w:kern w:val="0"/>
                <w:sz w:val="24"/>
                <w:szCs w:val="32"/>
                <w:highlight w:val="none"/>
              </w:rPr>
            </w:pPr>
          </w:p>
        </w:tc>
        <w:tc>
          <w:tcPr>
            <w:tcW w:w="1402" w:type="dxa"/>
            <w:vAlign w:val="center"/>
          </w:tcPr>
          <w:p w14:paraId="7DCDFC8A">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w:t>
            </w:r>
          </w:p>
        </w:tc>
        <w:tc>
          <w:tcPr>
            <w:tcW w:w="843" w:type="dxa"/>
            <w:vAlign w:val="center"/>
          </w:tcPr>
          <w:p w14:paraId="70EF842A">
            <w:pPr>
              <w:spacing w:line="360" w:lineRule="auto"/>
              <w:jc w:val="center"/>
              <w:rPr>
                <w:rFonts w:ascii="宋体" w:hAnsi="宋体" w:eastAsia="宋体" w:cs="Times New Roman"/>
                <w:color w:val="auto"/>
                <w:kern w:val="0"/>
                <w:sz w:val="24"/>
                <w:szCs w:val="32"/>
                <w:highlight w:val="none"/>
              </w:rPr>
            </w:pPr>
          </w:p>
        </w:tc>
        <w:tc>
          <w:tcPr>
            <w:tcW w:w="932" w:type="dxa"/>
            <w:vAlign w:val="center"/>
          </w:tcPr>
          <w:p w14:paraId="748E3747">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5605ABB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7FD52099">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64AF12C">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1ED5A10C">
            <w:pPr>
              <w:spacing w:line="360" w:lineRule="auto"/>
              <w:jc w:val="center"/>
              <w:rPr>
                <w:rFonts w:ascii="宋体" w:hAnsi="宋体" w:eastAsia="宋体" w:cs="Times New Roman"/>
                <w:color w:val="auto"/>
                <w:kern w:val="0"/>
                <w:sz w:val="24"/>
                <w:szCs w:val="32"/>
                <w:highlight w:val="none"/>
              </w:rPr>
            </w:pPr>
          </w:p>
        </w:tc>
      </w:tr>
    </w:tbl>
    <w:p w14:paraId="3F747AC3">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01613348">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4AE942DF">
      <w:pPr>
        <w:spacing w:line="360" w:lineRule="auto"/>
        <w:ind w:firstLine="480" w:firstLineChars="200"/>
        <w:rPr>
          <w:rFonts w:ascii="宋体" w:hAnsi="宋体" w:eastAsia="宋体" w:cs="Times New Roman"/>
          <w:color w:val="auto"/>
          <w:sz w:val="24"/>
          <w:szCs w:val="32"/>
          <w:highlight w:val="none"/>
        </w:rPr>
      </w:pPr>
    </w:p>
    <w:p w14:paraId="31197CB1">
      <w:pPr>
        <w:spacing w:line="360" w:lineRule="auto"/>
        <w:ind w:firstLine="480" w:firstLineChars="200"/>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rPr>
        <w:t>上表中由中型企业制造的货物的报价金额占投标总价的：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，由小型、微型企业制造的货物的报价金额占投标总价的：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w:t>
      </w:r>
    </w:p>
    <w:p w14:paraId="6EA58F8B">
      <w:pPr>
        <w:spacing w:line="360" w:lineRule="auto"/>
        <w:ind w:firstLine="480" w:firstLineChars="200"/>
        <w:rPr>
          <w:rFonts w:ascii="宋体" w:hAnsi="宋体" w:eastAsia="宋体" w:cs="Times New Roman"/>
          <w:color w:val="auto"/>
          <w:sz w:val="24"/>
          <w:szCs w:val="32"/>
          <w:highlight w:val="none"/>
        </w:rPr>
      </w:pPr>
    </w:p>
    <w:p w14:paraId="2E82B7C5">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企业名称（盖章）：</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1C09C60">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日期：</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23536D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1B94C11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1、本声明函放在投标文件的《资格及资信证明部分》，只需写明占比比例即可。</w:t>
      </w:r>
    </w:p>
    <w:p w14:paraId="400104A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比例计算公式：该部分货物报价金额÷投标总价*100%。</w:t>
      </w:r>
    </w:p>
    <w:p w14:paraId="550DA80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2、表格中的“标的名称”应与采购的货物名称相对应。</w:t>
      </w:r>
    </w:p>
    <w:p w14:paraId="417A3FC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3、填报的企业类型与划型标准不对应的，将可能导致投标无效。</w:t>
      </w:r>
    </w:p>
    <w:p w14:paraId="610E191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4、从业人员、营业收入、资产总额填报上一年度数据，无上一年度数据的新成立企业可不填报，在空格内填“\”即可。</w:t>
      </w:r>
    </w:p>
    <w:p w14:paraId="0ABC6C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若填报的数据与投标人自己提供的上一年度财务审计报告数据有出入的，将可能导致投标无效。</w:t>
      </w:r>
    </w:p>
    <w:p w14:paraId="3C494221">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6、从业人员数量建议按企业在国家企业信用信息公示系统中填报的上一年度年报数据填写。</w:t>
      </w:r>
    </w:p>
    <w:p w14:paraId="2246AAB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7、若对填写本声明函有疑问的，请及时联系代理机构咨询，否则由此导致的不利后果由投标人自行承担。</w:t>
      </w:r>
    </w:p>
    <w:p w14:paraId="63D109E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8、</w:t>
      </w:r>
      <w:r>
        <w:rPr>
          <w:rFonts w:hint="eastAsia" w:ascii="宋体" w:hAnsi="宋体" w:eastAsia="宋体" w:cs="Times New Roman"/>
          <w:color w:val="auto"/>
          <w:sz w:val="24"/>
          <w:highlight w:val="none"/>
        </w:rPr>
        <w:t>各行业划型标准为：</w:t>
      </w:r>
    </w:p>
    <w:p w14:paraId="740BF429">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21ABF46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4DB0B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6FE52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32477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02FA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D044D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B5947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4D1A40">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FEA8E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1713D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FCB94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357EE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03441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17E7C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9D0E0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6BCDABBB">
      <w:pPr>
        <w:rPr>
          <w:color w:val="auto"/>
          <w:highlight w:val="none"/>
        </w:rPr>
      </w:pPr>
    </w:p>
    <w:p w14:paraId="247AD2CE">
      <w:pPr>
        <w:spacing w:line="360" w:lineRule="auto"/>
        <w:rPr>
          <w:rFonts w:ascii="宋体" w:hAnsi="宋体" w:eastAsia="宋体" w:cs="Times New Roman"/>
          <w:color w:val="auto"/>
          <w:sz w:val="24"/>
          <w:szCs w:val="24"/>
          <w:highlight w:val="none"/>
        </w:rPr>
      </w:pPr>
    </w:p>
    <w:p w14:paraId="436D9530">
      <w:pPr>
        <w:spacing w:line="360" w:lineRule="auto"/>
        <w:ind w:firstLine="480" w:firstLineChars="200"/>
        <w:rPr>
          <w:rFonts w:ascii="宋体" w:hAnsi="宋体" w:eastAsia="宋体" w:cs="Times New Roman"/>
          <w:color w:val="auto"/>
          <w:sz w:val="24"/>
          <w:szCs w:val="24"/>
          <w:highlight w:val="none"/>
        </w:rPr>
        <w:sectPr>
          <w:pgSz w:w="11906" w:h="16838"/>
          <w:pgMar w:top="1418" w:right="1418" w:bottom="1418" w:left="1418" w:header="851" w:footer="992" w:gutter="0"/>
          <w:cols w:space="720" w:num="1"/>
          <w:titlePg/>
          <w:docGrid w:linePitch="312" w:charSpace="0"/>
        </w:sectPr>
      </w:pPr>
    </w:p>
    <w:p w14:paraId="11BC1183">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（二）《报价部分》的格式补充如下：</w:t>
      </w:r>
    </w:p>
    <w:p w14:paraId="0F5CFA1D">
      <w:pPr>
        <w:spacing w:before="50" w:after="50" w:line="360" w:lineRule="auto"/>
        <w:ind w:firstLine="562"/>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46DB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2F3597B">
            <w:pPr>
              <w:spacing w:line="360" w:lineRule="auto"/>
              <w:jc w:val="center"/>
              <w:rPr>
                <w:rFonts w:asciiTheme="minorEastAsia" w:hAnsiTheme="minorEastAsia"/>
                <w:color w:val="auto"/>
                <w:sz w:val="24"/>
                <w:highlight w:val="none"/>
              </w:rPr>
            </w:pPr>
          </w:p>
        </w:tc>
        <w:tc>
          <w:tcPr>
            <w:tcW w:w="7001" w:type="dxa"/>
            <w:gridSpan w:val="5"/>
            <w:vAlign w:val="center"/>
          </w:tcPr>
          <w:p w14:paraId="383A665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27DFE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F38EED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879" w:type="dxa"/>
            <w:vAlign w:val="center"/>
          </w:tcPr>
          <w:p w14:paraId="101C6FF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1880" w:type="dxa"/>
            <w:tcBorders>
              <w:right w:val="single" w:color="auto" w:sz="4" w:space="0"/>
            </w:tcBorders>
            <w:vAlign w:val="center"/>
          </w:tcPr>
          <w:p w14:paraId="3B1F280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c>
          <w:tcPr>
            <w:tcW w:w="1080" w:type="dxa"/>
            <w:tcBorders>
              <w:right w:val="single" w:color="auto" w:sz="4" w:space="0"/>
            </w:tcBorders>
            <w:vAlign w:val="center"/>
          </w:tcPr>
          <w:p w14:paraId="7C7C44D8">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数量</w:t>
            </w:r>
          </w:p>
        </w:tc>
        <w:tc>
          <w:tcPr>
            <w:tcW w:w="1081" w:type="dxa"/>
            <w:tcBorders>
              <w:left w:val="single" w:color="auto" w:sz="4" w:space="0"/>
            </w:tcBorders>
            <w:vAlign w:val="center"/>
          </w:tcPr>
          <w:p w14:paraId="10020436">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单价</w:t>
            </w:r>
          </w:p>
        </w:tc>
        <w:tc>
          <w:tcPr>
            <w:tcW w:w="1081" w:type="dxa"/>
            <w:tcBorders>
              <w:left w:val="single" w:color="auto" w:sz="4" w:space="0"/>
            </w:tcBorders>
            <w:vAlign w:val="center"/>
          </w:tcPr>
          <w:p w14:paraId="728BF569">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小计</w:t>
            </w:r>
          </w:p>
        </w:tc>
      </w:tr>
      <w:tr w14:paraId="580FE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0BC997E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879" w:type="dxa"/>
            <w:vAlign w:val="center"/>
          </w:tcPr>
          <w:p w14:paraId="35896E49">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1E33A7BE">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C81A8E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222C380">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9DF18F4">
            <w:pPr>
              <w:pStyle w:val="54"/>
              <w:spacing w:line="360" w:lineRule="auto"/>
              <w:jc w:val="center"/>
              <w:rPr>
                <w:rFonts w:hint="default" w:asciiTheme="minorEastAsia" w:hAnsiTheme="minorEastAsia"/>
                <w:color w:val="auto"/>
                <w:sz w:val="24"/>
                <w:szCs w:val="24"/>
                <w:highlight w:val="none"/>
              </w:rPr>
            </w:pPr>
          </w:p>
        </w:tc>
      </w:tr>
      <w:tr w14:paraId="05E2D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6950FC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90A9F1D">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5ECA9AA1">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2052C55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D275183">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49B09EFE">
            <w:pPr>
              <w:pStyle w:val="54"/>
              <w:spacing w:line="360" w:lineRule="auto"/>
              <w:jc w:val="center"/>
              <w:rPr>
                <w:rFonts w:hint="default" w:asciiTheme="minorEastAsia" w:hAnsiTheme="minorEastAsia"/>
                <w:color w:val="auto"/>
                <w:sz w:val="24"/>
                <w:szCs w:val="24"/>
                <w:highlight w:val="none"/>
              </w:rPr>
            </w:pPr>
          </w:p>
        </w:tc>
      </w:tr>
      <w:tr w14:paraId="38206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E8F4D3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4E6D113">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67B469D7">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4DB69A1">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3F5E5DC">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69170162">
            <w:pPr>
              <w:pStyle w:val="54"/>
              <w:spacing w:line="360" w:lineRule="auto"/>
              <w:jc w:val="center"/>
              <w:rPr>
                <w:rFonts w:hint="default" w:asciiTheme="minorEastAsia" w:hAnsiTheme="minorEastAsia"/>
                <w:color w:val="auto"/>
                <w:sz w:val="24"/>
                <w:szCs w:val="24"/>
                <w:highlight w:val="none"/>
              </w:rPr>
            </w:pPr>
          </w:p>
        </w:tc>
      </w:tr>
      <w:tr w14:paraId="2BA81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32CB2E2F">
            <w:pPr>
              <w:spacing w:line="360" w:lineRule="auto"/>
              <w:jc w:val="center"/>
              <w:rPr>
                <w:rFonts w:asciiTheme="minorEastAsia" w:hAnsiTheme="minorEastAsia"/>
                <w:color w:val="auto"/>
                <w:sz w:val="24"/>
                <w:highlight w:val="none"/>
              </w:rPr>
            </w:pPr>
          </w:p>
        </w:tc>
        <w:tc>
          <w:tcPr>
            <w:tcW w:w="5920" w:type="dxa"/>
            <w:gridSpan w:val="4"/>
            <w:vAlign w:val="center"/>
          </w:tcPr>
          <w:p w14:paraId="300B5B61">
            <w:pPr>
              <w:spacing w:line="360" w:lineRule="auto"/>
              <w:jc w:val="right"/>
              <w:rPr>
                <w:rFonts w:asciiTheme="minorEastAsia" w:hAnsiTheme="minorEastAsia"/>
                <w:color w:val="auto"/>
                <w:sz w:val="24"/>
                <w:highlight w:val="none"/>
              </w:rPr>
            </w:pPr>
            <w:r>
              <w:rPr>
                <w:rFonts w:asciiTheme="minorEastAsia" w:hAnsiTheme="minorEastAsia"/>
                <w:color w:val="auto"/>
                <w:sz w:val="24"/>
                <w:highlight w:val="none"/>
              </w:rPr>
              <w:t>合计</w:t>
            </w:r>
          </w:p>
        </w:tc>
        <w:tc>
          <w:tcPr>
            <w:tcW w:w="1081" w:type="dxa"/>
            <w:tcBorders>
              <w:left w:val="single" w:color="auto" w:sz="4" w:space="0"/>
            </w:tcBorders>
            <w:vAlign w:val="center"/>
          </w:tcPr>
          <w:p w14:paraId="746442CB">
            <w:pPr>
              <w:spacing w:line="360" w:lineRule="auto"/>
              <w:jc w:val="center"/>
              <w:rPr>
                <w:rFonts w:asciiTheme="minorEastAsia" w:hAnsiTheme="minorEastAsia"/>
                <w:color w:val="auto"/>
                <w:sz w:val="24"/>
                <w:highlight w:val="none"/>
              </w:rPr>
            </w:pPr>
          </w:p>
        </w:tc>
      </w:tr>
    </w:tbl>
    <w:p w14:paraId="496AF944">
      <w:pPr>
        <w:spacing w:line="360" w:lineRule="auto"/>
        <w:rPr>
          <w:rFonts w:ascii="黑体" w:hAnsi="黑体" w:eastAsia="黑体" w:cs="宋体"/>
          <w:b/>
          <w:color w:val="auto"/>
          <w:kern w:val="0"/>
          <w:sz w:val="32"/>
          <w:szCs w:val="24"/>
          <w:highlight w:val="none"/>
        </w:rPr>
      </w:pPr>
    </w:p>
    <w:p w14:paraId="06F35AEC">
      <w:pPr>
        <w:spacing w:line="360" w:lineRule="auto"/>
        <w:rPr>
          <w:rFonts w:ascii="黑体" w:hAnsi="黑体" w:eastAsia="黑体" w:cs="宋体"/>
          <w:b/>
          <w:color w:val="auto"/>
          <w:kern w:val="0"/>
          <w:sz w:val="32"/>
          <w:szCs w:val="24"/>
          <w:highlight w:val="none"/>
        </w:rPr>
      </w:pPr>
    </w:p>
    <w:p w14:paraId="6B4F1FA6">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（三）《技术商务部分》的格式补充如下：</w:t>
      </w:r>
    </w:p>
    <w:p w14:paraId="678F737A">
      <w:pPr>
        <w:spacing w:line="360" w:lineRule="auto"/>
        <w:jc w:val="center"/>
        <w:rPr>
          <w:rFonts w:ascii="黑体" w:hAnsi="黑体" w:eastAsia="黑体" w:cs="宋体"/>
          <w:b/>
          <w:bCs/>
          <w:color w:val="auto"/>
          <w:kern w:val="0"/>
          <w:sz w:val="28"/>
          <w:szCs w:val="18"/>
          <w:highlight w:val="none"/>
        </w:rPr>
      </w:pPr>
    </w:p>
    <w:p w14:paraId="23C8648C">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四、投标人提交的其他资料</w:t>
      </w:r>
    </w:p>
    <w:p w14:paraId="64F3C985">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（一）带“★”号条款逐条响应情况表</w:t>
      </w:r>
    </w:p>
    <w:p w14:paraId="5B3C3A90">
      <w:pPr>
        <w:spacing w:line="360" w:lineRule="auto"/>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726F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195EE3B2">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条款号</w:t>
            </w:r>
          </w:p>
        </w:tc>
        <w:tc>
          <w:tcPr>
            <w:tcW w:w="3333" w:type="dxa"/>
            <w:vAlign w:val="center"/>
          </w:tcPr>
          <w:p w14:paraId="5EC745AB">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招标文件中带“★”号的条款</w:t>
            </w:r>
          </w:p>
        </w:tc>
        <w:tc>
          <w:tcPr>
            <w:tcW w:w="1836" w:type="dxa"/>
            <w:vAlign w:val="center"/>
          </w:tcPr>
          <w:p w14:paraId="4B295EF5">
            <w:pPr>
              <w:spacing w:line="360" w:lineRule="auto"/>
              <w:jc w:val="center"/>
              <w:rPr>
                <w:rFonts w:ascii="宋体" w:hAnsi="宋体" w:eastAsia="宋体" w:cs="Times New Roman"/>
                <w:color w:val="auto"/>
                <w:kern w:val="0"/>
                <w:sz w:val="20"/>
                <w:szCs w:val="24"/>
                <w:highlight w:val="none"/>
              </w:rPr>
            </w:pPr>
            <w:r>
              <w:rPr>
                <w:rFonts w:ascii="宋体" w:hAnsi="宋体" w:eastAsia="宋体" w:cs="Times New Roman"/>
                <w:color w:val="auto"/>
                <w:kern w:val="0"/>
                <w:sz w:val="20"/>
                <w:szCs w:val="24"/>
                <w:highlight w:val="none"/>
              </w:rPr>
              <w:t>投标响应</w:t>
            </w:r>
            <w:r>
              <w:rPr>
                <w:rFonts w:hint="eastAsia" w:ascii="宋体" w:hAnsi="宋体" w:eastAsia="宋体" w:cs="Times New Roman"/>
                <w:color w:val="auto"/>
                <w:kern w:val="0"/>
                <w:sz w:val="20"/>
                <w:szCs w:val="24"/>
                <w:highlight w:val="none"/>
              </w:rPr>
              <w:t>内容</w:t>
            </w:r>
          </w:p>
        </w:tc>
        <w:tc>
          <w:tcPr>
            <w:tcW w:w="2627" w:type="dxa"/>
            <w:vAlign w:val="center"/>
          </w:tcPr>
          <w:p w14:paraId="474FB417">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对应投标文件页码</w:t>
            </w:r>
          </w:p>
        </w:tc>
      </w:tr>
      <w:tr w14:paraId="4FB5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A948E4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F5FD09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509DFAC6">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9782591">
            <w:pPr>
              <w:spacing w:line="360" w:lineRule="auto"/>
              <w:jc w:val="center"/>
              <w:rPr>
                <w:rFonts w:ascii="宋体" w:hAnsi="宋体" w:eastAsia="宋体" w:cs="Times New Roman"/>
                <w:color w:val="auto"/>
                <w:kern w:val="0"/>
                <w:sz w:val="20"/>
                <w:szCs w:val="24"/>
                <w:highlight w:val="none"/>
              </w:rPr>
            </w:pPr>
          </w:p>
        </w:tc>
      </w:tr>
      <w:tr w14:paraId="503E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9A2F68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17631B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C95EC">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899A0B8">
            <w:pPr>
              <w:spacing w:line="360" w:lineRule="auto"/>
              <w:jc w:val="center"/>
              <w:rPr>
                <w:rFonts w:ascii="宋体" w:hAnsi="宋体" w:eastAsia="宋体" w:cs="Times New Roman"/>
                <w:color w:val="auto"/>
                <w:kern w:val="0"/>
                <w:sz w:val="20"/>
                <w:szCs w:val="24"/>
                <w:highlight w:val="none"/>
              </w:rPr>
            </w:pPr>
          </w:p>
        </w:tc>
      </w:tr>
      <w:tr w14:paraId="5A0F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E6FB389">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8DDC62F">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0FBA699E">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5A29267">
            <w:pPr>
              <w:spacing w:line="360" w:lineRule="auto"/>
              <w:jc w:val="center"/>
              <w:rPr>
                <w:rFonts w:ascii="宋体" w:hAnsi="宋体" w:eastAsia="宋体" w:cs="Times New Roman"/>
                <w:color w:val="auto"/>
                <w:kern w:val="0"/>
                <w:sz w:val="20"/>
                <w:szCs w:val="24"/>
                <w:highlight w:val="none"/>
              </w:rPr>
            </w:pPr>
          </w:p>
        </w:tc>
      </w:tr>
      <w:tr w14:paraId="0392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7577ED6">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5C6622F0">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69128">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D7E844E">
            <w:pPr>
              <w:spacing w:line="360" w:lineRule="auto"/>
              <w:jc w:val="center"/>
              <w:rPr>
                <w:rFonts w:ascii="宋体" w:hAnsi="宋体" w:eastAsia="宋体" w:cs="Times New Roman"/>
                <w:color w:val="auto"/>
                <w:kern w:val="0"/>
                <w:sz w:val="20"/>
                <w:szCs w:val="24"/>
                <w:highlight w:val="none"/>
              </w:rPr>
            </w:pPr>
          </w:p>
        </w:tc>
      </w:tr>
      <w:tr w14:paraId="00FA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58B7DDB">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07D7F6A8">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A622123">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54D08BC8">
            <w:pPr>
              <w:spacing w:line="360" w:lineRule="auto"/>
              <w:jc w:val="center"/>
              <w:rPr>
                <w:rFonts w:ascii="宋体" w:hAnsi="宋体" w:eastAsia="宋体" w:cs="Times New Roman"/>
                <w:color w:val="auto"/>
                <w:kern w:val="0"/>
                <w:sz w:val="20"/>
                <w:szCs w:val="24"/>
                <w:highlight w:val="none"/>
              </w:rPr>
            </w:pPr>
          </w:p>
        </w:tc>
      </w:tr>
    </w:tbl>
    <w:p w14:paraId="2E03BEED">
      <w:pPr>
        <w:spacing w:line="380" w:lineRule="exact"/>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以上★号条款为招标文件中的所有★号条款，无论是技术指标或文字描述要求，投标人必须逐条如实地书面响应。</w:t>
      </w:r>
    </w:p>
    <w:p w14:paraId="28C3D252">
      <w:pPr>
        <w:spacing w:line="380" w:lineRule="exact"/>
        <w:ind w:firstLine="482" w:firstLineChars="200"/>
        <w:jc w:val="left"/>
        <w:rPr>
          <w:rFonts w:ascii="宋体" w:hAnsi="宋体" w:eastAsia="宋体" w:cs="Times New Roman"/>
          <w:b/>
          <w:color w:val="auto"/>
          <w:sz w:val="24"/>
          <w:szCs w:val="24"/>
          <w:highlight w:val="none"/>
        </w:rPr>
      </w:pPr>
    </w:p>
    <w:p w14:paraId="469E8858">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投标人全称（加盖公章）：</w:t>
      </w:r>
      <w:r>
        <w:rPr>
          <w:rFonts w:hint="eastAsia" w:ascii="宋体" w:hAnsi="宋体" w:eastAsia="宋体" w:cs="Times New Roman"/>
          <w:color w:val="auto"/>
          <w:sz w:val="24"/>
          <w:szCs w:val="24"/>
          <w:highlight w:val="none"/>
          <w:u w:val="single"/>
        </w:rPr>
        <w:t xml:space="preserve">           </w:t>
      </w:r>
    </w:p>
    <w:p w14:paraId="1473D65D">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日   期： </w:t>
      </w:r>
      <w:r>
        <w:rPr>
          <w:rFonts w:hint="eastAsia" w:ascii="宋体" w:hAnsi="宋体" w:eastAsia="宋体" w:cs="Times New Roman"/>
          <w:color w:val="auto"/>
          <w:sz w:val="24"/>
          <w:szCs w:val="24"/>
          <w:highlight w:val="none"/>
          <w:u w:val="single"/>
        </w:rPr>
        <w:t xml:space="preserve">                        </w:t>
      </w:r>
    </w:p>
    <w:p w14:paraId="2DF1180E">
      <w:pPr>
        <w:spacing w:line="360" w:lineRule="auto"/>
        <w:jc w:val="center"/>
        <w:rPr>
          <w:rFonts w:ascii="黑体" w:hAnsi="黑体" w:eastAsia="黑体" w:cs="宋体"/>
          <w:b/>
          <w:bCs/>
          <w:color w:val="auto"/>
          <w:kern w:val="0"/>
          <w:sz w:val="28"/>
          <w:szCs w:val="18"/>
          <w:highlight w:val="none"/>
        </w:rPr>
      </w:pPr>
      <w:bookmarkStart w:id="25" w:name="_Toc100307875"/>
    </w:p>
    <w:p w14:paraId="4FB1CD7A">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（二）技术商务评分响应索引表</w:t>
      </w:r>
      <w:bookmarkEnd w:id="25"/>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5F74AE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D72BCD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序号</w:t>
            </w:r>
          </w:p>
        </w:tc>
        <w:tc>
          <w:tcPr>
            <w:tcW w:w="4732" w:type="dxa"/>
            <w:vAlign w:val="center"/>
          </w:tcPr>
          <w:p w14:paraId="7F8DB587">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评分标准要求</w:t>
            </w:r>
          </w:p>
        </w:tc>
        <w:tc>
          <w:tcPr>
            <w:tcW w:w="3022" w:type="dxa"/>
            <w:vAlign w:val="center"/>
          </w:tcPr>
          <w:p w14:paraId="42B305FB">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对应投标文件页码</w:t>
            </w:r>
          </w:p>
        </w:tc>
      </w:tr>
      <w:tr w14:paraId="70A8F0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2135A68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技术因素评分</w:t>
            </w:r>
          </w:p>
        </w:tc>
      </w:tr>
      <w:tr w14:paraId="463803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8DC3B94">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1-1</w:t>
            </w:r>
          </w:p>
        </w:tc>
        <w:tc>
          <w:tcPr>
            <w:tcW w:w="4732" w:type="dxa"/>
            <w:vAlign w:val="center"/>
          </w:tcPr>
          <w:p w14:paraId="4F4B262D">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0AE3404B">
            <w:pPr>
              <w:spacing w:beforeLines="50" w:afterLines="50"/>
              <w:jc w:val="center"/>
              <w:rPr>
                <w:rFonts w:ascii="宋体" w:hAnsi="宋体" w:eastAsia="黑体" w:cs="Times New Roman"/>
                <w:b/>
                <w:bCs/>
                <w:color w:val="auto"/>
                <w:sz w:val="24"/>
                <w:szCs w:val="32"/>
                <w:highlight w:val="none"/>
              </w:rPr>
            </w:pPr>
          </w:p>
        </w:tc>
      </w:tr>
      <w:tr w14:paraId="780FB39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A20FC12">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1-2</w:t>
            </w:r>
          </w:p>
        </w:tc>
        <w:tc>
          <w:tcPr>
            <w:tcW w:w="4732" w:type="dxa"/>
            <w:vAlign w:val="center"/>
          </w:tcPr>
          <w:p w14:paraId="33154626">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3BD28E93">
            <w:pPr>
              <w:spacing w:beforeLines="50" w:afterLines="50"/>
              <w:jc w:val="center"/>
              <w:rPr>
                <w:rFonts w:ascii="宋体" w:hAnsi="宋体" w:eastAsia="黑体" w:cs="Times New Roman"/>
                <w:b/>
                <w:bCs/>
                <w:color w:val="auto"/>
                <w:sz w:val="24"/>
                <w:szCs w:val="32"/>
                <w:highlight w:val="none"/>
              </w:rPr>
            </w:pPr>
          </w:p>
        </w:tc>
      </w:tr>
      <w:tr w14:paraId="74FD1C4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75D7F260">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商务因素评分</w:t>
            </w:r>
          </w:p>
        </w:tc>
      </w:tr>
      <w:tr w14:paraId="0C2325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52BBEBD">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2-1</w:t>
            </w:r>
          </w:p>
        </w:tc>
        <w:tc>
          <w:tcPr>
            <w:tcW w:w="4732" w:type="dxa"/>
            <w:vAlign w:val="center"/>
          </w:tcPr>
          <w:p w14:paraId="3F55BCD3">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2F0F545C">
            <w:pPr>
              <w:spacing w:beforeLines="50" w:afterLines="50"/>
              <w:jc w:val="center"/>
              <w:rPr>
                <w:rFonts w:ascii="宋体" w:hAnsi="宋体" w:eastAsia="黑体" w:cs="Times New Roman"/>
                <w:b/>
                <w:bCs/>
                <w:color w:val="auto"/>
                <w:sz w:val="24"/>
                <w:szCs w:val="32"/>
                <w:highlight w:val="none"/>
              </w:rPr>
            </w:pPr>
          </w:p>
        </w:tc>
      </w:tr>
      <w:tr w14:paraId="10E1CB6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FFE596E">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2-2</w:t>
            </w:r>
          </w:p>
        </w:tc>
        <w:tc>
          <w:tcPr>
            <w:tcW w:w="4732" w:type="dxa"/>
            <w:vAlign w:val="center"/>
          </w:tcPr>
          <w:p w14:paraId="3E081E80">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40D6B2FE">
            <w:pPr>
              <w:spacing w:beforeLines="50" w:afterLines="50"/>
              <w:jc w:val="center"/>
              <w:rPr>
                <w:rFonts w:ascii="宋体" w:hAnsi="宋体" w:eastAsia="黑体" w:cs="Times New Roman"/>
                <w:b/>
                <w:bCs/>
                <w:color w:val="auto"/>
                <w:sz w:val="24"/>
                <w:szCs w:val="32"/>
                <w:highlight w:val="none"/>
              </w:rPr>
            </w:pPr>
          </w:p>
        </w:tc>
      </w:tr>
    </w:tbl>
    <w:p w14:paraId="22169237">
      <w:pPr>
        <w:spacing w:line="360" w:lineRule="auto"/>
        <w:jc w:val="left"/>
        <w:rPr>
          <w:rFonts w:cs="宋体" w:asciiTheme="minorEastAsia" w:hAnsiTheme="minorEastAsia"/>
          <w:bCs/>
          <w:color w:val="auto"/>
          <w:kern w:val="0"/>
          <w:sz w:val="24"/>
          <w:szCs w:val="24"/>
          <w:highlight w:val="none"/>
        </w:rPr>
      </w:pPr>
    </w:p>
    <w:p w14:paraId="2C8D816D">
      <w:pPr>
        <w:rPr>
          <w:color w:val="auto"/>
          <w:highlight w:val="none"/>
        </w:rPr>
        <w:sectPr>
          <w:pgSz w:w="11906" w:h="16838"/>
          <w:pgMar w:top="1418" w:right="1418" w:bottom="1418" w:left="1418" w:header="851" w:footer="992" w:gutter="0"/>
          <w:cols w:space="425" w:num="1"/>
          <w:docGrid w:type="lines" w:linePitch="312" w:charSpace="0"/>
        </w:sectPr>
      </w:pPr>
    </w:p>
    <w:p w14:paraId="640E0F3D">
      <w:pPr>
        <w:spacing w:beforeLines="50" w:afterLines="50"/>
        <w:jc w:val="center"/>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关于</w:t>
      </w:r>
      <w:r>
        <w:rPr>
          <w:rFonts w:hint="eastAsia" w:ascii="黑体" w:hAnsi="黑体" w:eastAsia="黑体" w:cs="Times New Roman"/>
          <w:color w:val="auto"/>
          <w:sz w:val="32"/>
          <w:szCs w:val="32"/>
          <w:highlight w:val="none"/>
        </w:rPr>
        <w:t>串标情形及后果的告知函</w:t>
      </w:r>
    </w:p>
    <w:p w14:paraId="402AEB67">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AA83925">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一、串标情形</w:t>
      </w:r>
    </w:p>
    <w:p w14:paraId="46084F43">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1、《政府采购法》第二十五条</w:t>
      </w:r>
      <w:r>
        <w:rPr>
          <w:rFonts w:hint="eastAsia" w:ascii="宋体" w:hAnsi="宋体" w:eastAsia="宋体" w:cs="Times New Roman"/>
          <w:color w:val="auto"/>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A311A37">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2、《政府采购法实施条例》第七十四条</w:t>
      </w:r>
      <w:r>
        <w:rPr>
          <w:rFonts w:hint="eastAsia" w:ascii="宋体" w:hAnsi="宋体" w:eastAsia="宋体" w:cs="Times New Roman"/>
          <w:color w:val="auto"/>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3EBBE85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（一）供应商直接或者间接从采购人或者采购代理机构处获得其他供应商的相关情况并修改其投标文件或者响应文件；</w:t>
      </w:r>
    </w:p>
    <w:p w14:paraId="31523F1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（二）供应商按照采购人或者采购代理机构的授意撤换、修改投标文件或者响应文件；</w:t>
      </w:r>
    </w:p>
    <w:p w14:paraId="6B555DD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（三）供应商之间协商报价、技术方案等投标文件或者响应文件的实质性内容；</w:t>
      </w:r>
    </w:p>
    <w:p w14:paraId="77B2A11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（四）属于同一集团、协会、商会等组织成员的供应商按照该组织要求协同参加政府采购活动；</w:t>
      </w:r>
    </w:p>
    <w:p w14:paraId="1B4487B6">
      <w:pPr>
        <w:spacing w:line="360" w:lineRule="auto"/>
        <w:ind w:firstLine="480" w:firstLineChars="200"/>
        <w:rPr>
          <w:rFonts w:ascii="宋体" w:hAnsi="宋体" w:eastAsia="宋体" w:cs="Times New Roman"/>
          <w:color w:val="auto"/>
          <w:sz w:val="24"/>
          <w:szCs w:val="28"/>
          <w:highlight w:val="none"/>
        </w:rPr>
      </w:pPr>
      <w:bookmarkStart w:id="26" w:name="_Toc100307870"/>
      <w:r>
        <w:rPr>
          <w:rFonts w:hint="eastAsia" w:ascii="宋体" w:hAnsi="宋体" w:eastAsia="宋体" w:cs="Times New Roman"/>
          <w:color w:val="auto"/>
          <w:sz w:val="24"/>
          <w:szCs w:val="28"/>
          <w:highlight w:val="none"/>
        </w:rPr>
        <w:t>（五）供应商之间事先约定由某一特定供应商中标、成交；</w:t>
      </w:r>
      <w:bookmarkEnd w:id="26"/>
    </w:p>
    <w:p w14:paraId="5D54E67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（六）供应商之间商定部分供应商放弃参加政府采购活动或者放弃中标、成交；</w:t>
      </w:r>
    </w:p>
    <w:p w14:paraId="16535B8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（七）供应商与采购人或者采购代理机构之间、供应商相互之间，为谋求特定供应商中标、成交或者排斥其他供应商的其他串通行为。</w:t>
      </w:r>
    </w:p>
    <w:p w14:paraId="1FB736B4">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3、《政府采购货物和服务招标投标管理办法》（财政部令第87号）第三十七条</w:t>
      </w:r>
      <w:r>
        <w:rPr>
          <w:rFonts w:hint="eastAsia" w:ascii="宋体" w:hAnsi="宋体" w:eastAsia="宋体" w:cs="Times New Roman"/>
          <w:color w:val="auto"/>
          <w:sz w:val="24"/>
          <w:szCs w:val="28"/>
          <w:highlight w:val="none"/>
        </w:rPr>
        <w:t>：有下列情形之一的，视为投标人串通投标，其投标无效：</w:t>
      </w:r>
    </w:p>
    <w:p w14:paraId="083A505A">
      <w:pPr>
        <w:spacing w:line="360" w:lineRule="auto"/>
        <w:ind w:firstLine="480" w:firstLineChars="200"/>
        <w:rPr>
          <w:rFonts w:ascii="宋体" w:hAnsi="宋体" w:eastAsia="宋体" w:cs="Times New Roman"/>
          <w:color w:val="auto"/>
          <w:sz w:val="24"/>
          <w:szCs w:val="28"/>
          <w:highlight w:val="none"/>
        </w:rPr>
      </w:pPr>
      <w:bookmarkStart w:id="27" w:name="_Toc100307871"/>
      <w:r>
        <w:rPr>
          <w:rFonts w:hint="eastAsia" w:ascii="宋体" w:hAnsi="宋体" w:eastAsia="宋体" w:cs="Times New Roman"/>
          <w:color w:val="auto"/>
          <w:sz w:val="24"/>
          <w:szCs w:val="28"/>
          <w:highlight w:val="none"/>
        </w:rPr>
        <w:t>（一）不同投标人的投标文件由同一单位或者个人编制；</w:t>
      </w:r>
      <w:bookmarkEnd w:id="27"/>
    </w:p>
    <w:p w14:paraId="10A8B39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（二）不同投标人委托同一单位或者个人办理投标事宜；</w:t>
      </w:r>
    </w:p>
    <w:p w14:paraId="55E11D0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（三）不同投标人的投标文件载明的项目管理成员或者联系人员为同一人；</w:t>
      </w:r>
    </w:p>
    <w:p w14:paraId="4A2DA79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（四）不同投标人的投标文件异常一致或者投标报价呈规律性差异；</w:t>
      </w:r>
    </w:p>
    <w:p w14:paraId="06148B94">
      <w:pPr>
        <w:spacing w:line="360" w:lineRule="auto"/>
        <w:ind w:firstLine="480" w:firstLineChars="200"/>
        <w:rPr>
          <w:rFonts w:ascii="宋体" w:hAnsi="宋体" w:eastAsia="宋体" w:cs="Times New Roman"/>
          <w:color w:val="auto"/>
          <w:sz w:val="24"/>
          <w:szCs w:val="28"/>
          <w:highlight w:val="none"/>
        </w:rPr>
      </w:pPr>
      <w:bookmarkStart w:id="28" w:name="_Toc100307872"/>
      <w:r>
        <w:rPr>
          <w:rFonts w:hint="eastAsia" w:ascii="宋体" w:hAnsi="宋体" w:eastAsia="宋体" w:cs="Times New Roman"/>
          <w:color w:val="auto"/>
          <w:sz w:val="24"/>
          <w:szCs w:val="28"/>
          <w:highlight w:val="none"/>
        </w:rPr>
        <w:t>（五）不同投标人的投标文件相互混装；</w:t>
      </w:r>
      <w:bookmarkEnd w:id="28"/>
    </w:p>
    <w:p w14:paraId="49326B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（六）不同投标人的投标保证金从同一单位或者个人的账户转出。</w:t>
      </w:r>
    </w:p>
    <w:p w14:paraId="20556BC0">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4、《福建省财政厅关于电子化政府采购项目中视为串标情形认定与处理的指导意见》（闽财购〔2018〕30号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197743B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一、电子化招标项目视为串通情形的认定 </w:t>
      </w:r>
    </w:p>
    <w:p w14:paraId="13D248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（一）保证金验核阶段 </w:t>
      </w:r>
    </w:p>
    <w:p w14:paraId="1ECB2DD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86474CB">
      <w:pPr>
        <w:spacing w:line="360" w:lineRule="auto"/>
        <w:ind w:firstLine="480" w:firstLineChars="200"/>
        <w:rPr>
          <w:rFonts w:ascii="宋体" w:hAnsi="宋体" w:eastAsia="宋体" w:cs="Times New Roman"/>
          <w:color w:val="auto"/>
          <w:sz w:val="24"/>
          <w:szCs w:val="28"/>
          <w:highlight w:val="none"/>
        </w:rPr>
      </w:pPr>
      <w:bookmarkStart w:id="29" w:name="_Toc100307873"/>
      <w:r>
        <w:rPr>
          <w:rFonts w:hint="eastAsia" w:ascii="宋体" w:hAnsi="宋体" w:eastAsia="宋体" w:cs="Times New Roman"/>
          <w:color w:val="auto"/>
          <w:sz w:val="24"/>
          <w:szCs w:val="28"/>
          <w:highlight w:val="none"/>
        </w:rPr>
        <w:t>（二）电子响应文件解密阶段</w:t>
      </w:r>
      <w:bookmarkEnd w:id="29"/>
      <w:r>
        <w:rPr>
          <w:rFonts w:hint="eastAsia" w:ascii="宋体" w:hAnsi="宋体" w:eastAsia="宋体" w:cs="Times New Roman"/>
          <w:color w:val="auto"/>
          <w:sz w:val="24"/>
          <w:szCs w:val="28"/>
          <w:highlight w:val="none"/>
        </w:rPr>
        <w:t xml:space="preserve"> </w:t>
      </w:r>
    </w:p>
    <w:p w14:paraId="7E3CDF4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电子响应文件的个性特征与本采购项目的其他响应人存在雷同的，按照以下方式进行认定：</w:t>
      </w:r>
    </w:p>
    <w:p w14:paraId="6599D21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73BA4F8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CD9FDA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F782F86">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5、《福建省财政厅关于福建省省级政府采购货物和服务项目招标文件编制指引和实施指引的补充通知（三）》（闽财购〔2010〕28号）</w:t>
      </w:r>
    </w:p>
    <w:p w14:paraId="76FC858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评标委员会在评标过程中发现投标人存在下列情形之一的，可认定其有串通投标行为，并做出其投标无效的决定： </w:t>
      </w:r>
    </w:p>
    <w:p w14:paraId="26A96ED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（一）不同投标人的投标文件错、漏之处一致或雷同，且不能合理解释的； </w:t>
      </w:r>
    </w:p>
    <w:p w14:paraId="6A46212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（二）不同的投标人的法定代表人、委托代理人等由同一个单位缴纳社会保险的； </w:t>
      </w:r>
    </w:p>
    <w:p w14:paraId="38FA4A8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5B7F9D7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（四）有关法律、法规或规章规定的其他串通投标行为。</w:t>
      </w:r>
    </w:p>
    <w:p w14:paraId="73F47483">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二、后果</w:t>
      </w:r>
    </w:p>
    <w:p w14:paraId="1CD6BE55">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1、《政府采购法》第七十七条</w:t>
      </w:r>
      <w:r>
        <w:rPr>
          <w:rFonts w:hint="eastAsia" w:ascii="宋体" w:hAnsi="宋体" w:eastAsia="宋体" w:cs="Times New Roman"/>
          <w:color w:val="auto"/>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6CF82A">
      <w:pPr>
        <w:spacing w:line="360" w:lineRule="auto"/>
        <w:ind w:firstLine="480" w:firstLineChars="200"/>
        <w:rPr>
          <w:rFonts w:ascii="宋体" w:hAnsi="宋体" w:eastAsia="宋体" w:cs="Times New Roman"/>
          <w:color w:val="auto"/>
          <w:sz w:val="24"/>
          <w:szCs w:val="28"/>
          <w:highlight w:val="none"/>
        </w:rPr>
      </w:pPr>
      <w:bookmarkStart w:id="30" w:name="_Toc100307874"/>
      <w:r>
        <w:rPr>
          <w:rFonts w:hint="eastAsia" w:ascii="宋体" w:hAnsi="宋体" w:eastAsia="宋体" w:cs="Times New Roman"/>
          <w:color w:val="auto"/>
          <w:sz w:val="24"/>
          <w:szCs w:val="28"/>
          <w:highlight w:val="none"/>
        </w:rPr>
        <w:t>（三）与采购人、其他供应商或者采购代理机构恶意串通的；</w:t>
      </w:r>
      <w:bookmarkEnd w:id="30"/>
    </w:p>
    <w:p w14:paraId="712C43B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供应商有前款第（一）至（五）项情形之一的，中标、成交无效。</w:t>
      </w:r>
    </w:p>
    <w:p w14:paraId="7B255E6D">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2、《福建省财政厅关于电子化政府采购项目中视为串标情形认定与处理的指导意见》（闽财购〔2018〕30号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4E0C921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0E4D5166">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三、虚假应标风险提示</w:t>
      </w:r>
    </w:p>
    <w:p w14:paraId="068D75D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303CE1EB">
      <w:pPr>
        <w:pStyle w:val="3"/>
        <w:spacing w:beforeLines="100" w:afterLines="100" w:line="240" w:lineRule="auto"/>
        <w:jc w:val="left"/>
        <w:rPr>
          <w:rFonts w:ascii="黑体" w:hAnsi="黑体" w:eastAsia="黑体" w:cs="Times New Roman"/>
          <w:color w:val="auto"/>
          <w:kern w:val="0"/>
          <w:sz w:val="30"/>
          <w:highlight w:val="none"/>
        </w:rPr>
      </w:pPr>
      <w:bookmarkStart w:id="31" w:name="_Toc139103826"/>
      <w:r>
        <w:rPr>
          <w:rFonts w:ascii="黑体" w:hAnsi="黑体" w:eastAsia="黑体" w:cs="Times New Roman"/>
          <w:color w:val="auto"/>
          <w:kern w:val="0"/>
          <w:sz w:val="30"/>
          <w:highlight w:val="none"/>
        </w:rPr>
        <w:t>四、其他事项</w:t>
      </w:r>
      <w:bookmarkEnd w:id="31"/>
    </w:p>
    <w:p w14:paraId="77F8830C">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1、除招标文件另有规定外，若出现有关法律、法规和规章有强制性规定但招标文件未列明的情形，则投标人应按照有关法律、法规和规章强制性规定执行。</w:t>
      </w:r>
    </w:p>
    <w:p w14:paraId="3F36C888">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2、其他：</w:t>
      </w:r>
    </w:p>
    <w:p w14:paraId="5A6F6174">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详见其他商务要求中的“补充条款”。</w:t>
      </w:r>
    </w:p>
    <w:p w14:paraId="41E27ACE">
      <w:pPr>
        <w:rPr>
          <w:color w:val="auto"/>
          <w:highlight w:val="none"/>
        </w:rPr>
        <w:sectPr>
          <w:pgSz w:w="11906" w:h="16838"/>
          <w:pgMar w:top="1418" w:right="1418" w:bottom="1418" w:left="1418" w:header="851" w:footer="992" w:gutter="0"/>
          <w:cols w:space="425" w:num="1"/>
          <w:docGrid w:type="lines" w:linePitch="312" w:charSpace="0"/>
        </w:sectPr>
      </w:pPr>
    </w:p>
    <w:p w14:paraId="076037D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2" w:name="_Toc139103827"/>
      <w:r>
        <w:rPr>
          <w:rFonts w:ascii="黑体" w:hAnsi="黑体" w:eastAsia="黑体" w:cs="Times New Roman"/>
          <w:color w:val="auto"/>
          <w:kern w:val="0"/>
          <w:sz w:val="32"/>
          <w:szCs w:val="44"/>
          <w:highlight w:val="none"/>
        </w:rPr>
        <w:t>第六章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政府采购合同</w:t>
      </w:r>
      <w:bookmarkEnd w:id="32"/>
    </w:p>
    <w:p w14:paraId="4A1570EB">
      <w:pPr>
        <w:pStyle w:val="54"/>
        <w:widowControl w:val="0"/>
        <w:jc w:val="center"/>
        <w:rPr>
          <w:rFonts w:hint="default"/>
          <w:color w:val="auto"/>
          <w:highlight w:val="none"/>
        </w:rPr>
      </w:pPr>
      <w:r>
        <w:rPr>
          <w:b/>
          <w:color w:val="auto"/>
          <w:sz w:val="28"/>
          <w:highlight w:val="none"/>
        </w:rPr>
        <w:t>参考文本</w:t>
      </w:r>
    </w:p>
    <w:p w14:paraId="2BD2D992">
      <w:pPr>
        <w:rPr>
          <w:color w:val="auto"/>
          <w:highlight w:val="none"/>
        </w:rPr>
      </w:pPr>
    </w:p>
    <w:p w14:paraId="57D05AEE">
      <w:pPr>
        <w:spacing w:line="360" w:lineRule="auto"/>
        <w:jc w:val="center"/>
        <w:rPr>
          <w:rFonts w:ascii="Times New Roman" w:hAnsi="Times New Roman" w:eastAsia="宋体" w:cs="Times New Roman"/>
          <w:color w:val="auto"/>
          <w:sz w:val="32"/>
          <w:szCs w:val="32"/>
          <w:highlight w:val="none"/>
        </w:rPr>
      </w:pPr>
    </w:p>
    <w:p w14:paraId="20B3B83F">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政府采购货物买卖合同</w:t>
      </w:r>
    </w:p>
    <w:p w14:paraId="0815379B">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（试行）</w:t>
      </w:r>
    </w:p>
    <w:p w14:paraId="2BF4CED5">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项目名称：__________________________</w:t>
      </w:r>
    </w:p>
    <w:p w14:paraId="2C074E50">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合同编号：__________________________</w:t>
      </w:r>
    </w:p>
    <w:p w14:paraId="6F4C50F8">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甲    方：__________________________</w:t>
      </w:r>
    </w:p>
    <w:p w14:paraId="39BBDC59">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乙    方：__________________________</w:t>
      </w:r>
    </w:p>
    <w:p w14:paraId="19A68D21">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签订时间：__________________________</w:t>
      </w:r>
    </w:p>
    <w:p w14:paraId="70DBF58A">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 xml:space="preserve"> </w:t>
      </w:r>
    </w:p>
    <w:p w14:paraId="1C658388">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使用说明</w:t>
      </w:r>
    </w:p>
    <w:p w14:paraId="51DDB64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1.本合同标准文本适用于购买现成货物的采购项目，不包括需要供应商定制开发、创新研发的货物采购项目。</w:t>
      </w:r>
    </w:p>
    <w:p w14:paraId="6AD4129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2.本合同标准文本为政府采购货物买卖合同编制提供参考，可以结合采购项目具体情况，对文本作必要的调整修订后使用。</w:t>
      </w:r>
    </w:p>
    <w:p w14:paraId="09DA5E9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3.本合同标准文本各条款中，如涉及填写多家供应商、制造商，多种采购标的、分包主要内容等信息的，可根据采购项目具体情况添加信息项。</w:t>
      </w:r>
    </w:p>
    <w:p w14:paraId="49E0855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第一节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政府采购合同协议书</w:t>
      </w:r>
    </w:p>
    <w:p w14:paraId="0D384406">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甲方（全称）：___________________________（采购人、受采购人委托签订合同的单位或采购文件约定的合同甲方）</w:t>
      </w:r>
    </w:p>
    <w:p w14:paraId="48683E8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乙方1（全称）：___________________________（供应商）</w:t>
      </w:r>
    </w:p>
    <w:p w14:paraId="33A0475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乙方2（全称）：_______________（联合体成员供应商或其他合同主体）（如有）</w:t>
      </w:r>
    </w:p>
    <w:p w14:paraId="0933CD6A">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乙方3（全称）：_______________（联合体成员供应商或其他合同主体）（如有）</w:t>
      </w:r>
    </w:p>
    <w:p w14:paraId="21CF1D7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9169F4F">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1.项目信息</w:t>
      </w:r>
    </w:p>
    <w:p w14:paraId="41CBF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（1）采购项目名称：________________________</w:t>
      </w:r>
    </w:p>
    <w:p w14:paraId="0793BF0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采购项目编号：____________________________</w:t>
      </w:r>
    </w:p>
    <w:p w14:paraId="50F242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（2）采购计划编号：________________________</w:t>
      </w:r>
    </w:p>
    <w:p w14:paraId="545B3C6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（3）项目内容：</w:t>
      </w:r>
    </w:p>
    <w:p w14:paraId="0409A8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采购标的及数量（台/套/个/架/组等）：___________________</w:t>
      </w:r>
    </w:p>
    <w:p w14:paraId="2A3285E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品牌： ___________________ 规格型号：__________________</w:t>
      </w:r>
    </w:p>
    <w:p w14:paraId="6A0A37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采购标的的技术要求、商务要求具体见附件。</w:t>
      </w:r>
    </w:p>
    <w:p w14:paraId="5F44C42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①涉及信息类产品，请填写该产品关键部件的品牌、型号：</w:t>
      </w:r>
    </w:p>
    <w:p w14:paraId="6D90B6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标的名称： ___________________</w:t>
      </w:r>
    </w:p>
    <w:p w14:paraId="4473922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5F5A9C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280BC1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324A21B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0AAC4B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②涉及车辆采购，请填写是否属于新能源汽车：</w:t>
      </w:r>
    </w:p>
    <w:p w14:paraId="298D44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是，《政府采购品目分类目录》底级品目名称：_____数量：_____金额：_____</w:t>
      </w:r>
    </w:p>
    <w:p w14:paraId="05A7BD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37458D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（4）政府采购组织形式：政府集中采购 部门集中采购 分散采购</w:t>
      </w:r>
    </w:p>
    <w:p w14:paraId="432C4E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（5）政府采购方式：公开招标 邀请招标 竞争性谈判 竞争性磋商询价 单一来源 框架协议 其他：____________________</w:t>
      </w:r>
    </w:p>
    <w:p w14:paraId="171086A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（6）中标（成交）采购标的制造商是否为中小企业：是否</w:t>
      </w:r>
    </w:p>
    <w:p w14:paraId="492F95E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本合同是否为专门面向中小企业的采购合同（中小企业预留合同）：是否</w:t>
      </w:r>
    </w:p>
    <w:p w14:paraId="0EE33A3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若本项目不专门面向中小企业采购，是否给予小微企业评审优惠：是否</w:t>
      </w:r>
    </w:p>
    <w:p w14:paraId="60B917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中标（成交）采购标的制造商是否为残疾人福利性单位：是否</w:t>
      </w:r>
    </w:p>
    <w:p w14:paraId="395FE5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中标（成交）采购标的制造商是否为监狱企业：是否</w:t>
      </w:r>
    </w:p>
    <w:p w14:paraId="4836073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（7）合同是否分包：是否</w:t>
      </w:r>
    </w:p>
    <w:p w14:paraId="4BBB3FD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分包主要内容：________________________________________</w:t>
      </w:r>
    </w:p>
    <w:p w14:paraId="45B48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分包供应商/制造商名称（如供应商和制造商不同，请分别填写）：</w:t>
      </w:r>
    </w:p>
    <w:p w14:paraId="43068F7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________________________________________</w:t>
      </w:r>
    </w:p>
    <w:p w14:paraId="587A30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分包供应商/制造商类型（如果供应商和制造商不同，只填写制造商类型）：</w:t>
      </w:r>
    </w:p>
    <w:p w14:paraId="7FA43EF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大型企业中型企业小微型企业</w:t>
      </w:r>
    </w:p>
    <w:p w14:paraId="00F0C9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残疾人福利性单位监狱企业其他</w:t>
      </w:r>
    </w:p>
    <w:p w14:paraId="2BC17D0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（8）中标（成交）供应商是否为外商投资企业：是否</w:t>
      </w:r>
    </w:p>
    <w:p w14:paraId="40E3070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外商投资企业类型：全部由外国投资者投资部分由外国投资者投资</w:t>
      </w:r>
    </w:p>
    <w:p w14:paraId="72BB85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（9）是否涉及进口产品：</w:t>
      </w:r>
    </w:p>
    <w:p w14:paraId="56C2FC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是，《政府采购品目分类目录》底级品目名称：__________  金额：__________</w:t>
      </w:r>
    </w:p>
    <w:p w14:paraId="7508462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国别：__________  品牌：__________  规格型号__________</w:t>
      </w:r>
    </w:p>
    <w:p w14:paraId="32602A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42CADBE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（10）是否涉及节能产品：</w:t>
      </w:r>
    </w:p>
    <w:p w14:paraId="2DA0D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是，《节能产品政府采购品目清单》的底级品目名称：__________</w:t>
      </w:r>
    </w:p>
    <w:p w14:paraId="2424420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6F3441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1EBE0B2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是否涉及环境标志产品：</w:t>
      </w:r>
    </w:p>
    <w:p w14:paraId="328ABD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是，《环境标志产品政府采购品目清单》的底级品目名称：__________</w:t>
      </w:r>
    </w:p>
    <w:p w14:paraId="7141E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2FF4654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55F234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是否涉及绿色产品：</w:t>
      </w:r>
    </w:p>
    <w:p w14:paraId="2FF02D1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是，绿色产品政府采购相关政策确定的底级品目名称：__________</w:t>
      </w:r>
    </w:p>
    <w:p w14:paraId="642FB7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064E06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77276A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（11）涉及商品包装和快递包装的，是否参考《商品包装政府采购需求标准（试行）》、《快递包装政府采购需求标准（试行）》明确产品及相关快递服务的具体包装要求：</w:t>
      </w:r>
    </w:p>
    <w:p w14:paraId="1C8523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         否        不涉及</w:t>
      </w:r>
    </w:p>
    <w:p w14:paraId="071C7A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2.合同金额</w:t>
      </w:r>
    </w:p>
    <w:p w14:paraId="007B349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（1）合同金额小写：____________________大写：____________________</w:t>
      </w:r>
    </w:p>
    <w:p w14:paraId="6B3493A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分包金额（如有）小写：____________________大写：____________________</w:t>
      </w:r>
    </w:p>
    <w:p w14:paraId="4E89E01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（注：固定单价合同应填写单价和最高限价）</w:t>
      </w:r>
    </w:p>
    <w:p w14:paraId="273B3CF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（2）合同定价方式（采用组合定价方式的，可以勾选多项）：</w:t>
      </w:r>
    </w:p>
    <w:p w14:paraId="5B79B3D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固定总价固定单价成本补偿绩效激励其他__________</w:t>
      </w:r>
    </w:p>
    <w:p w14:paraId="63520F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（3）付款方式（按项目实际勾选填写）：</w:t>
      </w:r>
    </w:p>
    <w:p w14:paraId="56B3071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全额付款：_______（应明确一次性支付合同款项的条件）_____________</w:t>
      </w:r>
    </w:p>
    <w:p w14:paraId="2357F2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6092C1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成本补偿：_______（应明确按照成本补偿方式的支付方式和支付条件）___________</w:t>
      </w:r>
    </w:p>
    <w:p w14:paraId="477C877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绩效激励：_______（应明确按照绩效激励方式的支付方式和支付条件）_________</w:t>
      </w:r>
    </w:p>
    <w:p w14:paraId="5CFA8D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3.合同履行</w:t>
      </w:r>
    </w:p>
    <w:p w14:paraId="5F2FD3B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（1）起始日期：______年_____月_____日 ，完成日期：_____年____月____日。</w:t>
      </w:r>
    </w:p>
    <w:p w14:paraId="6736A3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（2）履约地点：____________________</w:t>
      </w:r>
    </w:p>
    <w:p w14:paraId="57FA0B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（3）履约担保：</w:t>
      </w:r>
    </w:p>
    <w:p w14:paraId="74A8349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是否收取履约保证金：是 否</w:t>
      </w:r>
    </w:p>
    <w:p w14:paraId="30468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收取履约保证金形式：____________________</w:t>
      </w:r>
    </w:p>
    <w:p w14:paraId="48ABAF9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收取履约保证金金额：____________________</w:t>
      </w:r>
    </w:p>
    <w:p w14:paraId="2BEF68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670545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4DF7029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（4）分期履行要求：____________________</w:t>
      </w:r>
    </w:p>
    <w:p w14:paraId="2F57B6B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（5）风险处置措施和替代方案：____________________</w:t>
      </w:r>
    </w:p>
    <w:p w14:paraId="1D5ED3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4.合同验收</w:t>
      </w:r>
    </w:p>
    <w:p w14:paraId="0A8362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（1）验收组织方式：自行验收委托第三方验收</w:t>
      </w:r>
    </w:p>
    <w:p w14:paraId="7AD5E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验收主体：____________________</w:t>
      </w:r>
    </w:p>
    <w:p w14:paraId="5F74F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是否邀请本项目的其他供应商参加验收：是否</w:t>
      </w:r>
    </w:p>
    <w:p w14:paraId="6429B6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是否邀请专家参加验收：是否</w:t>
      </w:r>
    </w:p>
    <w:p w14:paraId="7DC0FC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是否邀请服务对象参加验收：是否</w:t>
      </w:r>
    </w:p>
    <w:p w14:paraId="580F63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是否邀请第三方检测机构参加验收：是否</w:t>
      </w:r>
    </w:p>
    <w:p w14:paraId="3DE771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是否进行抽查检测： 是，抽查比例：__________%否</w:t>
      </w:r>
    </w:p>
    <w:p w14:paraId="5BF7743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是否存在破坏性检测： 是，__________否</w:t>
      </w:r>
    </w:p>
    <w:p w14:paraId="3537DA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验收组织的其他事项：____________________</w:t>
      </w:r>
    </w:p>
    <w:p w14:paraId="592C82A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（2）履约验收时间：计划于何时验收/供应商提出验收申请之日起_______日内组织验收</w:t>
      </w:r>
    </w:p>
    <w:p w14:paraId="6709FFC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（3）履约验收方式：一次性验收分期/分项验收：__________</w:t>
      </w:r>
    </w:p>
    <w:p w14:paraId="7BFFE4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（4）履约验收程序：____________________</w:t>
      </w:r>
    </w:p>
    <w:p w14:paraId="73832A0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（5）履约验收的内容：_________（应当包括每一项技术和商务要求的履约情况，特别是落实政府采购扶持中小企业，支持绿色发展和乡村振兴等政策情况）___________</w:t>
      </w:r>
    </w:p>
    <w:p w14:paraId="3650EFD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（6）履约验收标准：_____________________________</w:t>
      </w:r>
    </w:p>
    <w:p w14:paraId="214888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（7）是否以采购活动中供应商提供的样品作为参考：是否</w:t>
      </w:r>
    </w:p>
    <w:p w14:paraId="0A55269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（8）履约验收其他事项：_______________</w:t>
      </w:r>
    </w:p>
    <w:p w14:paraId="238927AA">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5.组成合同的文件</w:t>
      </w:r>
    </w:p>
    <w:p w14:paraId="1E02AB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本协议书与下列文件一起构成合同文件，如下述文件之间有任何抵触、矛盾或歧义，应按以下顺序解释：</w:t>
      </w:r>
    </w:p>
    <w:p w14:paraId="76392F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（1）政府采购合同协议书及其变更、补充协议</w:t>
      </w:r>
    </w:p>
    <w:p w14:paraId="5605D09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（2）政府采购合同专用条款</w:t>
      </w:r>
    </w:p>
    <w:p w14:paraId="233DE2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（3）政府采购合同通用条款</w:t>
      </w:r>
    </w:p>
    <w:p w14:paraId="188EAA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（4）中标（成交）通知书</w:t>
      </w:r>
    </w:p>
    <w:p w14:paraId="5AA396A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（5）投标（响应）文件</w:t>
      </w:r>
    </w:p>
    <w:p w14:paraId="4F82802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（6）采购文件</w:t>
      </w:r>
    </w:p>
    <w:p w14:paraId="4273F4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（7）有关技术文件，图纸</w:t>
      </w:r>
    </w:p>
    <w:p w14:paraId="2C8ACE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（8）国家法律、行政法规和规章制度规定或合同约定的作为合同组成部分的其他文件</w:t>
      </w:r>
    </w:p>
    <w:p w14:paraId="5AF3A5D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6.合同生效</w:t>
      </w:r>
    </w:p>
    <w:p w14:paraId="3E17174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本合同自____________________生效。</w:t>
      </w:r>
    </w:p>
    <w:p w14:paraId="30FB9B4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7.合同份数</w:t>
      </w:r>
    </w:p>
    <w:p w14:paraId="0C2AA3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本合同一式 _______ 份，甲方执 _______ 份，乙方执 _______ 份，均具有同等法律效力。</w:t>
      </w:r>
    </w:p>
    <w:p w14:paraId="24DCA6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合同订立时间：详见本合同封面的签订时间。</w:t>
      </w:r>
    </w:p>
    <w:p w14:paraId="72FE2E3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合同订立地点： ____________________________</w:t>
      </w:r>
    </w:p>
    <w:p w14:paraId="7FEBBD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附件：具体标的及其技术要求和商务要求、联合协议、分包意向协议等。</w:t>
      </w:r>
    </w:p>
    <w:p w14:paraId="2D152B0B">
      <w:pPr>
        <w:spacing w:line="360" w:lineRule="auto"/>
        <w:ind w:firstLine="480" w:firstLineChars="200"/>
        <w:jc w:val="left"/>
        <w:rPr>
          <w:rFonts w:ascii="宋体" w:hAnsi="宋体" w:eastAsia="宋体" w:cs="Times New Roman"/>
          <w:color w:val="auto"/>
          <w:kern w:val="0"/>
          <w:sz w:val="24"/>
          <w:szCs w:val="24"/>
          <w:highlight w:val="none"/>
        </w:rPr>
      </w:pPr>
    </w:p>
    <w:p w14:paraId="1FF26B5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甲方（采购人、受采购人委托签订合同的单位或采购文件约定的合同甲方）</w:t>
      </w:r>
    </w:p>
    <w:p w14:paraId="621307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单位名称（公章或合同章）： {{未填写}}（盖章）</w:t>
      </w:r>
    </w:p>
    <w:p w14:paraId="7BFE7B1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法定代表人或其委托代理人（签章）：{{未填写}}</w:t>
      </w:r>
    </w:p>
    <w:p w14:paraId="2378CE5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住 所：{{未填写}}</w:t>
      </w:r>
    </w:p>
    <w:p w14:paraId="67CCB05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 系 人：{{未填写}}</w:t>
      </w:r>
    </w:p>
    <w:p w14:paraId="62462B6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联系电话：{{未填写}}</w:t>
      </w:r>
    </w:p>
    <w:p w14:paraId="273697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通信地址：{{未填写}}</w:t>
      </w:r>
    </w:p>
    <w:p w14:paraId="617E14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邮政编码：{{未填写}}</w:t>
      </w:r>
    </w:p>
    <w:p w14:paraId="760A104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电子邮箱：{{未填写}}</w:t>
      </w:r>
    </w:p>
    <w:p w14:paraId="48013F8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统一社会信用代码：{{未填写}}</w:t>
      </w:r>
    </w:p>
    <w:p w14:paraId="67756950">
      <w:pPr>
        <w:ind w:firstLine="480"/>
        <w:jc w:val="left"/>
        <w:rPr>
          <w:rFonts w:ascii="Calibri" w:hAnsi="Calibri" w:eastAsia="宋体" w:cs="Times New Roman"/>
          <w:color w:val="auto"/>
          <w:kern w:val="0"/>
          <w:sz w:val="20"/>
          <w:szCs w:val="20"/>
          <w:highlight w:val="none"/>
        </w:rPr>
      </w:pPr>
      <w:r>
        <w:rPr>
          <w:rFonts w:ascii="Calibri" w:hAnsi="Calibri" w:eastAsia="宋体" w:cs="Times New Roman"/>
          <w:color w:val="auto"/>
          <w:kern w:val="0"/>
          <w:sz w:val="20"/>
          <w:szCs w:val="20"/>
          <w:highlight w:val="none"/>
        </w:rPr>
        <w:t xml:space="preserve"> </w:t>
      </w:r>
    </w:p>
    <w:p w14:paraId="28ACB7DE">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第二节 政府采购合同通用条款</w:t>
      </w:r>
    </w:p>
    <w:p w14:paraId="149A659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 定义</w:t>
      </w:r>
    </w:p>
    <w:p w14:paraId="6F5D35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1.1合同当事人</w:t>
      </w:r>
    </w:p>
    <w:p w14:paraId="08384E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（1）采购人（以下称甲方）是指使用财政性资金，通过政府采购方式向供应商购买货物及其相关服务的国家机关、事业单位、团体组织。</w:t>
      </w:r>
    </w:p>
    <w:p w14:paraId="35A835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（2）供应商（以下称乙方）是指参加政府采购活动并且中标（成交），向采购人提供合同约定的货物及其相关服务的法人、非法人组织或者自然人。</w:t>
      </w:r>
    </w:p>
    <w:p w14:paraId="3CC9E9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（3）其他合同主体是指除采购人和供应商以外，依法参与合同缔结或履行，享有权利、承担义务的合同当事人。</w:t>
      </w:r>
    </w:p>
    <w:p w14:paraId="29CBCF6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1.2本合同下列术语应解释为：</w:t>
      </w:r>
    </w:p>
    <w:p w14:paraId="3DF019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092C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（2）“合同价款”系指根据本合同规定乙方在全面履行合同义务后甲方应支付给乙方的价款。</w:t>
      </w:r>
    </w:p>
    <w:p w14:paraId="705BA2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（3）“货物”系指乙方根据本合同规定须向甲方提供的各种形态和种类的物品，包括原材料、设备、产品（包括软件）及相关的其备品备件、工具、手册及其他技术资料和材料等。</w:t>
      </w:r>
    </w:p>
    <w:p w14:paraId="6AC926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4E083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41413A1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679B00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（7）其他术语解释，见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5073A4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2.合同标的及金额</w:t>
      </w:r>
    </w:p>
    <w:p w14:paraId="202E3CC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 合同标的及金额应与中标（成交）结果一致。乙方为履行本合同而发生的所有费用均应包含在合同价款中，甲方不再另行支付其他任何费用。</w:t>
      </w:r>
    </w:p>
    <w:p w14:paraId="54BDC44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 履行合同的时间、地点和方式</w:t>
      </w:r>
    </w:p>
    <w:p w14:paraId="38EAD2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3.1 乙方应当在约定的时间、地点，按照约定方式履行合同。</w:t>
      </w:r>
    </w:p>
    <w:p w14:paraId="107A0C8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 甲方的权利和义务</w:t>
      </w:r>
    </w:p>
    <w:p w14:paraId="3B50F35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9F101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19C6D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4.3 甲方有权要求乙方对缺陷部分予以修复，并按合同约定享有货物保修及其他合同约定的权利。</w:t>
      </w:r>
    </w:p>
    <w:p w14:paraId="4FE350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4.4 甲方应当按照合同约定及时对交付的货物进行验收，未在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约定的期限内对乙方履约提出任何异议或者向乙方作出任何说明的，视为验收通过。</w:t>
      </w:r>
    </w:p>
    <w:p w14:paraId="2F4DD7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4.5 甲方应当根据合同约定及时向乙方支付合同价款，不得以内部人员变更、履行内部付款流程等为由，拒绝或迟延支付。</w:t>
      </w:r>
    </w:p>
    <w:p w14:paraId="04BE3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4.6 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约定应由甲方承担的其他义务和责任。</w:t>
      </w:r>
    </w:p>
    <w:p w14:paraId="39BBCB6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 乙方的权利和义务</w:t>
      </w:r>
    </w:p>
    <w:p w14:paraId="7915F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5.1 签署合同后，乙方应确定项目负责人（或项目联系人），负责与本合同有关的事务。</w:t>
      </w:r>
    </w:p>
    <w:p w14:paraId="0907F30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26D8F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5.3乙方有权根据合同约定向甲方收取合同价款。</w:t>
      </w:r>
    </w:p>
    <w:p w14:paraId="6551BF1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5.4国家法律法规规定及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约定应由乙方承担的其他义务和责任。</w:t>
      </w:r>
    </w:p>
    <w:p w14:paraId="3479903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6.合同履行</w:t>
      </w:r>
    </w:p>
    <w:p w14:paraId="553BEA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6.1 甲乙双方应当按照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约定顺序履行合同义务；如果没有先后顺序的，应当同时履行。</w:t>
      </w:r>
    </w:p>
    <w:p w14:paraId="1DE3526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DD5EB9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 货物包装、运输、保险和交付要求</w:t>
      </w:r>
    </w:p>
    <w:p w14:paraId="5C3E98E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7.1 本合同涉及商品包装、快递包装的，除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另有约定外，包装应适应远距离运输、防潮、防震、防锈和防野蛮装卸等要求，确保货物安全无损地运抵</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约定的指定现场。</w:t>
      </w:r>
    </w:p>
    <w:p w14:paraId="4DB98A2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7.2 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另有约定外，乙方负责办理将货物运抵本合同规定的交货地点，并装卸、交付至甲方的一切运输事项，相关费用应包含在合同价款中。</w:t>
      </w:r>
    </w:p>
    <w:p w14:paraId="08ACCA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7.3 货物保险要求按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0E6A77F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23D8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7.5 乙方在运输到达之前应提前通知甲方，并提示货物运输装卸的注意事项，甲方配合乙方做好货物的接收工作。</w:t>
      </w:r>
    </w:p>
    <w:p w14:paraId="40424D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7.6 如因包装、运输问题导致货物损毁、丢失或者品质下降，甲方有权要求降价、换货、拒收部分或整批货物，由此产生的费用和损失，均由乙方承担。</w:t>
      </w:r>
    </w:p>
    <w:p w14:paraId="7FA7F6D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8. 质量标准和保证</w:t>
      </w:r>
    </w:p>
    <w:p w14:paraId="514BB50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8.1 质量标准</w:t>
      </w:r>
    </w:p>
    <w:p w14:paraId="774928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E7AD8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（2）采用中华人民共和国法定计量单位。</w:t>
      </w:r>
    </w:p>
    <w:p w14:paraId="7D0310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（3）乙方所提供的货物应符合国家有关安全、环保、卫生的规定。</w:t>
      </w:r>
    </w:p>
    <w:p w14:paraId="04A59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E91DB2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8.2 保证</w:t>
      </w:r>
    </w:p>
    <w:p w14:paraId="2DE685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9E3B2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（2）在质量保证期内所发现的缺陷，甲方应尽快以书面形式通知乙方。</w:t>
      </w:r>
    </w:p>
    <w:p w14:paraId="51213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（3）乙方收到通知后，应在【政府采购合同专用条款】规定的响应时间内以合理的速度免费维修或更换有缺陷的货物或部件。</w:t>
      </w:r>
    </w:p>
    <w:p w14:paraId="1C520CE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B0786C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（5）乙方在约定的时间内未能弥补缺陷，甲方可采取必要的补救措施，但其风险和费用将由乙方承担，甲方根据合同约定对乙方行使的其他权利不受影响。</w:t>
      </w:r>
    </w:p>
    <w:p w14:paraId="79EC0C4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9. 权利瑕疵担保</w:t>
      </w:r>
    </w:p>
    <w:p w14:paraId="3A0077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9.1 乙方保证对其出售的货物享有合法的权利。</w:t>
      </w:r>
    </w:p>
    <w:p w14:paraId="49689BA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9.2 乙方保证在交付的货物上不存在抵押权等担保物权。</w:t>
      </w:r>
    </w:p>
    <w:p w14:paraId="2856BF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9.3 如甲方使用上述货物构成对第三人侵权的，则由乙方承担全部责任。</w:t>
      </w:r>
    </w:p>
    <w:p w14:paraId="2C33539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10. 知识产权保护</w:t>
      </w:r>
    </w:p>
    <w:p w14:paraId="63F63E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16C8DF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11. 保密义务</w:t>
      </w:r>
    </w:p>
    <w:p w14:paraId="694047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21BC277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12. 合同价款支付</w:t>
      </w:r>
    </w:p>
    <w:p w14:paraId="680F60C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12.1 合同价款支付按照国库集中支付制度及财政管理相关规定执行。</w:t>
      </w:r>
    </w:p>
    <w:p w14:paraId="294B14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47A6BD22">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13. 履约保证金</w:t>
      </w:r>
    </w:p>
    <w:p w14:paraId="4A5AE4A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13.1 乙方应当以支票、汇票、本票或者金融机构、担保机构出具的保函等非现金形式提交。</w:t>
      </w:r>
    </w:p>
    <w:p w14:paraId="2DF3D31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13.2 如果乙方出现</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3DEC3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13.3 甲方在项目通过验收后按照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规定的时间内将履约保证金退还乙方；逾期退还的，乙方可要求甲方支付违约金，违约金按照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规定支付。</w:t>
      </w:r>
    </w:p>
    <w:p w14:paraId="45FF71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14. 售后服务</w:t>
      </w:r>
    </w:p>
    <w:p w14:paraId="258A706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14.1 除项目不涉及或采购活动中明确约定无须承担外，乙方还应提供下列服务：</w:t>
      </w:r>
    </w:p>
    <w:p w14:paraId="5383C2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（1）货物的现场移动、安装、调试、启动监督及技术支持；</w:t>
      </w:r>
    </w:p>
    <w:p w14:paraId="6EDDDF3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（2）提供货物组装和维修所需的专用工具和辅助材料；</w:t>
      </w:r>
    </w:p>
    <w:p w14:paraId="4F9A1E9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约定的期限内对所有的货物实施运行监督、维修，但前提条件是该服务并不能免除乙方在质量保证期内所承担的义务；</w:t>
      </w:r>
    </w:p>
    <w:p w14:paraId="3AE53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（4）在制造商所在地或指定现场就货物的安装、启动、运营、维护、废弃处置等对甲方操作人员进行培训；</w:t>
      </w:r>
    </w:p>
    <w:p w14:paraId="46FB391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（5）依照法律、行政法规的规定或者按照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约定，货物在有效使用年限届满后应予回收的，乙方负有自行或者委托第三人对货物予以回收的义务；</w:t>
      </w:r>
    </w:p>
    <w:p w14:paraId="02A1D7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规定由乙方提供的其他服务。</w:t>
      </w:r>
    </w:p>
    <w:p w14:paraId="0C0E45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14.2 乙方提供的售后服务的费用已包含在合同价款中，甲方不再另行支付。</w:t>
      </w:r>
    </w:p>
    <w:p w14:paraId="3AEA86B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15. 违约责任</w:t>
      </w:r>
    </w:p>
    <w:p w14:paraId="418E5E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15.1质量瑕疵的违约责任</w:t>
      </w:r>
    </w:p>
    <w:p w14:paraId="03B713E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乙方提供的产品不符合合同约定的质量标准或存在产品质量缺陷，甲方有权要求乙方根据</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要求及时修理、重作、更换，并承担由此给甲方造成的损失。</w:t>
      </w:r>
    </w:p>
    <w:p w14:paraId="3CF2FE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15.2 迟延交货的违约责任</w:t>
      </w:r>
    </w:p>
    <w:p w14:paraId="7A4B4C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49256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规定执行。如果涉及公共利益，且赔偿金额无法弥补公共利益损失，甲方可要求继续履行或者采取其他补救措施。</w:t>
      </w:r>
    </w:p>
    <w:p w14:paraId="40F1EF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15.3 迟延支付的违约责任</w:t>
      </w:r>
    </w:p>
    <w:p w14:paraId="5C2EBE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甲方存在迟延支付乙方合同款项的，应当承担</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规定的逾期付款利息。</w:t>
      </w:r>
    </w:p>
    <w:p w14:paraId="4891088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15.4其他违约责任根据项目实际需要按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12BF8A5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16.合同变更、中止与终止</w:t>
      </w:r>
    </w:p>
    <w:p w14:paraId="7AB217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16.1合同的变更</w:t>
      </w:r>
    </w:p>
    <w:p w14:paraId="5786810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政府采购合同履行中，在不改变合同其他条款的前提下，甲方可以在合同价款10%的范围内追加与合同标的相同的货物，并就此与乙方协商一致后签订补充协议。</w:t>
      </w:r>
    </w:p>
    <w:p w14:paraId="26F3BB8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16.2合同的中止</w:t>
      </w:r>
    </w:p>
    <w:p w14:paraId="2017A7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（1）合同履行过程中因供应商就采购文件、采购过程或结果提起投诉的，甲方认为有必要的，可以中止合同的履行。</w:t>
      </w:r>
    </w:p>
    <w:p w14:paraId="3349168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2B383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D36851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（4）甲方不得以行政区划调整、政府换届、机构或者职能调整以及相关责任人更替为由中止合同。</w:t>
      </w:r>
    </w:p>
    <w:p w14:paraId="42A31A7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16.3合同的终止</w:t>
      </w:r>
    </w:p>
    <w:p w14:paraId="18F945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（1）合同因有效期限届满而终止；</w:t>
      </w:r>
    </w:p>
    <w:p w14:paraId="5E4F2C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（2）乙方未按合同约定履行，构成根本性违约的，甲方有权终止合同，并追究乙方的违约责任。</w:t>
      </w:r>
    </w:p>
    <w:p w14:paraId="02230DC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16.4 涉及国家利益、社会公共利益的情形</w:t>
      </w:r>
    </w:p>
    <w:p w14:paraId="42372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F4F0FA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17. 合同分包</w:t>
      </w:r>
    </w:p>
    <w:p w14:paraId="4C7D406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17.1 乙方不得将合同转包给其他供应商。涉及合同分包的，乙方应根据采购文件和投标（响应）文件规定进行合同分包。</w:t>
      </w:r>
    </w:p>
    <w:p w14:paraId="3B4B78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17.2 乙方执行政府采购政策向中小企业依法分包的，乙方应当按采购文件和投标（响应）文件签订分包意向协议，分包意向协议属于本合同组成部分。</w:t>
      </w:r>
    </w:p>
    <w:p w14:paraId="7A3411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18. 不可抗力</w:t>
      </w:r>
    </w:p>
    <w:p w14:paraId="69CF74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18.1 不可抗力是指合同双方不能预见、不能避免且不能克服的客观情况。</w:t>
      </w:r>
    </w:p>
    <w:p w14:paraId="273A8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18.2 任何一方对由于不可抗力造成的部分或全部不能履行合同不承担违约责任。但迟延履行后发生不可抗力的，不能免除责任。</w:t>
      </w:r>
    </w:p>
    <w:p w14:paraId="52A28C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47B7D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19. 解决争议的方法</w:t>
      </w:r>
    </w:p>
    <w:p w14:paraId="5A2274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8ED53A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19.2 选择仲裁的，应在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中明确仲裁机构及仲裁地；通过诉讼方式解决的，可以在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中进一步约定选择与争议有实际联系的地点的人民法院管辖，但管辖法院的约定不得违反级别管辖和专属管辖的规定。</w:t>
      </w:r>
    </w:p>
    <w:p w14:paraId="262967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19.3 如甲乙双方有争议的事项不影响合同其他部分的履行，在争议解决期间，合同其他部分应当继续履行。</w:t>
      </w:r>
    </w:p>
    <w:p w14:paraId="32E26EE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20. 政府采购政策</w:t>
      </w:r>
    </w:p>
    <w:p w14:paraId="76910C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20.1 本合同应当按照规定执行政府采购政策。</w:t>
      </w:r>
    </w:p>
    <w:p w14:paraId="1029F6C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054DF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92E5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21. 法律适用</w:t>
      </w:r>
    </w:p>
    <w:p w14:paraId="54B36C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21.1 本合同的订立、生效、解释、履行及与本合同有关的争议解决，均适用法律、行政法规。</w:t>
      </w:r>
    </w:p>
    <w:p w14:paraId="56225B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21.2 本合同条款与法律、行政法规的强制性规定不一致的，双方当事人应按照法律、行政法规的强制性规定修改本合同的相关条款。</w:t>
      </w:r>
    </w:p>
    <w:p w14:paraId="7B5221A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22. 通知</w:t>
      </w:r>
    </w:p>
    <w:p w14:paraId="03381D0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22.1 本合同任何一方向对方发出的通知、信件、数据电文等，应当发送至本合同第一部分《政府采购合同协议书》所约定的通讯地址、联系人、联系电话或电子邮箱。</w:t>
      </w:r>
    </w:p>
    <w:p w14:paraId="7EF338E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8DCD3E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22.3本合同一方给另一方的通知均应采用书面形式，传真或快递送到本合同中规定的对方的地址和办理签收手续。</w:t>
      </w:r>
    </w:p>
    <w:p w14:paraId="48473F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22.4通知以送达之日或通知书中规定的生效之日起生效，两者中以较迟之日为准。</w:t>
      </w:r>
    </w:p>
    <w:p w14:paraId="6BE66FB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23.合同未尽事项</w:t>
      </w:r>
    </w:p>
    <w:p w14:paraId="53C3FED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23.1合同未尽事项见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2527E57A">
      <w:pPr>
        <w:spacing w:line="360" w:lineRule="auto"/>
        <w:ind w:firstLine="480" w:firstLineChars="200"/>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 w:val="24"/>
          <w:szCs w:val="24"/>
          <w:highlight w:val="none"/>
        </w:rPr>
        <w:t>23.2 合同附件与合同正文具有同等的法律效力。</w:t>
      </w:r>
    </w:p>
    <w:p w14:paraId="0D00A52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第三节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64C3E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69" w:type="dxa"/>
            <w:vAlign w:val="center"/>
          </w:tcPr>
          <w:p w14:paraId="7BE164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第1.2（6）项</w:t>
            </w:r>
          </w:p>
        </w:tc>
        <w:tc>
          <w:tcPr>
            <w:tcW w:w="2769" w:type="dxa"/>
            <w:vAlign w:val="center"/>
          </w:tcPr>
          <w:p w14:paraId="069D52B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联合体具体要求</w:t>
            </w:r>
          </w:p>
        </w:tc>
        <w:tc>
          <w:tcPr>
            <w:tcW w:w="3295" w:type="dxa"/>
            <w:vAlign w:val="center"/>
          </w:tcPr>
          <w:p w14:paraId="3DE0D91F">
            <w:pPr>
              <w:spacing w:line="360" w:lineRule="auto"/>
              <w:rPr>
                <w:rFonts w:ascii="宋体" w:hAnsi="宋体" w:eastAsia="宋体" w:cs="Times New Roman"/>
                <w:color w:val="auto"/>
                <w:kern w:val="0"/>
                <w:sz w:val="24"/>
                <w:szCs w:val="24"/>
                <w:highlight w:val="none"/>
              </w:rPr>
            </w:pPr>
          </w:p>
        </w:tc>
      </w:tr>
      <w:tr w14:paraId="4D74A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D19965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第1.2（7）项</w:t>
            </w:r>
          </w:p>
        </w:tc>
        <w:tc>
          <w:tcPr>
            <w:tcW w:w="2769" w:type="dxa"/>
            <w:vAlign w:val="center"/>
          </w:tcPr>
          <w:p w14:paraId="7FF121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其他术语解释</w:t>
            </w:r>
          </w:p>
        </w:tc>
        <w:tc>
          <w:tcPr>
            <w:tcW w:w="3295" w:type="dxa"/>
            <w:vAlign w:val="center"/>
          </w:tcPr>
          <w:p w14:paraId="17811F1E">
            <w:pPr>
              <w:spacing w:line="360" w:lineRule="auto"/>
              <w:rPr>
                <w:rFonts w:ascii="宋体" w:hAnsi="宋体" w:eastAsia="宋体" w:cs="Times New Roman"/>
                <w:color w:val="auto"/>
                <w:kern w:val="0"/>
                <w:sz w:val="24"/>
                <w:szCs w:val="24"/>
                <w:highlight w:val="none"/>
              </w:rPr>
            </w:pPr>
          </w:p>
        </w:tc>
      </w:tr>
      <w:tr w14:paraId="5A16D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E0F48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第4.4款</w:t>
            </w:r>
          </w:p>
        </w:tc>
        <w:tc>
          <w:tcPr>
            <w:tcW w:w="2769" w:type="dxa"/>
            <w:vAlign w:val="center"/>
          </w:tcPr>
          <w:p w14:paraId="065EEB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履约验收中甲方提出异议或作出说明的期限</w:t>
            </w:r>
          </w:p>
        </w:tc>
        <w:tc>
          <w:tcPr>
            <w:tcW w:w="3295" w:type="dxa"/>
            <w:vAlign w:val="center"/>
          </w:tcPr>
          <w:p w14:paraId="744F85D1">
            <w:pPr>
              <w:spacing w:line="360" w:lineRule="auto"/>
              <w:rPr>
                <w:rFonts w:ascii="宋体" w:hAnsi="宋体" w:eastAsia="宋体" w:cs="Times New Roman"/>
                <w:color w:val="auto"/>
                <w:kern w:val="0"/>
                <w:sz w:val="24"/>
                <w:szCs w:val="24"/>
                <w:highlight w:val="none"/>
              </w:rPr>
            </w:pPr>
          </w:p>
        </w:tc>
      </w:tr>
      <w:tr w14:paraId="12ED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41F4A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第4.6款</w:t>
            </w:r>
          </w:p>
        </w:tc>
        <w:tc>
          <w:tcPr>
            <w:tcW w:w="2769" w:type="dxa"/>
            <w:vAlign w:val="center"/>
          </w:tcPr>
          <w:p w14:paraId="6BBC235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约定甲方承担的其他义务和责任</w:t>
            </w:r>
          </w:p>
        </w:tc>
        <w:tc>
          <w:tcPr>
            <w:tcW w:w="3295" w:type="dxa"/>
            <w:vAlign w:val="center"/>
          </w:tcPr>
          <w:p w14:paraId="3FCA1158">
            <w:pPr>
              <w:spacing w:line="360" w:lineRule="auto"/>
              <w:rPr>
                <w:rFonts w:ascii="宋体" w:hAnsi="宋体" w:eastAsia="宋体" w:cs="Times New Roman"/>
                <w:color w:val="auto"/>
                <w:kern w:val="0"/>
                <w:sz w:val="24"/>
                <w:szCs w:val="24"/>
                <w:highlight w:val="none"/>
              </w:rPr>
            </w:pPr>
          </w:p>
        </w:tc>
      </w:tr>
      <w:tr w14:paraId="5900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2773BF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第5.4款</w:t>
            </w:r>
          </w:p>
        </w:tc>
        <w:tc>
          <w:tcPr>
            <w:tcW w:w="2769" w:type="dxa"/>
            <w:vAlign w:val="center"/>
          </w:tcPr>
          <w:p w14:paraId="1802114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约定乙方承担的其他义务和责任</w:t>
            </w:r>
          </w:p>
        </w:tc>
        <w:tc>
          <w:tcPr>
            <w:tcW w:w="3295" w:type="dxa"/>
            <w:vAlign w:val="center"/>
          </w:tcPr>
          <w:p w14:paraId="66AA9741">
            <w:pPr>
              <w:spacing w:line="360" w:lineRule="auto"/>
              <w:rPr>
                <w:rFonts w:ascii="宋体" w:hAnsi="宋体" w:eastAsia="宋体" w:cs="Times New Roman"/>
                <w:color w:val="auto"/>
                <w:kern w:val="0"/>
                <w:sz w:val="24"/>
                <w:szCs w:val="24"/>
                <w:highlight w:val="none"/>
              </w:rPr>
            </w:pPr>
          </w:p>
        </w:tc>
      </w:tr>
      <w:tr w14:paraId="247C6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0F4DC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第6.1款</w:t>
            </w:r>
          </w:p>
        </w:tc>
        <w:tc>
          <w:tcPr>
            <w:tcW w:w="2769" w:type="dxa"/>
            <w:vAlign w:val="center"/>
          </w:tcPr>
          <w:p w14:paraId="33EFE58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履行合同义务的顺序</w:t>
            </w:r>
          </w:p>
        </w:tc>
        <w:tc>
          <w:tcPr>
            <w:tcW w:w="3295" w:type="dxa"/>
            <w:vAlign w:val="center"/>
          </w:tcPr>
          <w:p w14:paraId="139E8887">
            <w:pPr>
              <w:spacing w:line="360" w:lineRule="auto"/>
              <w:rPr>
                <w:rFonts w:ascii="宋体" w:hAnsi="宋体" w:eastAsia="宋体" w:cs="Times New Roman"/>
                <w:color w:val="auto"/>
                <w:kern w:val="0"/>
                <w:sz w:val="24"/>
                <w:szCs w:val="24"/>
                <w:highlight w:val="none"/>
              </w:rPr>
            </w:pPr>
          </w:p>
        </w:tc>
      </w:tr>
      <w:tr w14:paraId="3CA5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4F42BA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第7.1款</w:t>
            </w:r>
          </w:p>
        </w:tc>
        <w:tc>
          <w:tcPr>
            <w:tcW w:w="2769" w:type="dxa"/>
            <w:vAlign w:val="center"/>
          </w:tcPr>
          <w:p w14:paraId="4ACC030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包装特殊要求</w:t>
            </w:r>
          </w:p>
        </w:tc>
        <w:tc>
          <w:tcPr>
            <w:tcW w:w="3295" w:type="dxa"/>
            <w:vAlign w:val="center"/>
          </w:tcPr>
          <w:p w14:paraId="377B7827">
            <w:pPr>
              <w:spacing w:line="360" w:lineRule="auto"/>
              <w:rPr>
                <w:rFonts w:ascii="宋体" w:hAnsi="宋体" w:eastAsia="宋体" w:cs="Times New Roman"/>
                <w:color w:val="auto"/>
                <w:kern w:val="0"/>
                <w:sz w:val="24"/>
                <w:szCs w:val="24"/>
                <w:highlight w:val="none"/>
              </w:rPr>
            </w:pPr>
          </w:p>
        </w:tc>
      </w:tr>
      <w:tr w14:paraId="079FB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69" w:type="dxa"/>
            <w:vMerge w:val="continue"/>
            <w:vAlign w:val="center"/>
          </w:tcPr>
          <w:p w14:paraId="1644708C">
            <w:pPr>
              <w:spacing w:line="360" w:lineRule="auto"/>
              <w:rPr>
                <w:rFonts w:ascii="宋体" w:hAnsi="宋体" w:eastAsia="宋体" w:cs="Times New Roman"/>
                <w:color w:val="auto"/>
                <w:sz w:val="24"/>
                <w:szCs w:val="24"/>
                <w:highlight w:val="none"/>
              </w:rPr>
            </w:pPr>
          </w:p>
        </w:tc>
        <w:tc>
          <w:tcPr>
            <w:tcW w:w="2769" w:type="dxa"/>
            <w:vAlign w:val="center"/>
          </w:tcPr>
          <w:p w14:paraId="5241826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指定现场</w:t>
            </w:r>
          </w:p>
        </w:tc>
        <w:tc>
          <w:tcPr>
            <w:tcW w:w="3295" w:type="dxa"/>
            <w:vAlign w:val="center"/>
          </w:tcPr>
          <w:p w14:paraId="3EDBE794">
            <w:pPr>
              <w:spacing w:line="360" w:lineRule="auto"/>
              <w:rPr>
                <w:rFonts w:ascii="宋体" w:hAnsi="宋体" w:eastAsia="宋体" w:cs="Times New Roman"/>
                <w:color w:val="auto"/>
                <w:kern w:val="0"/>
                <w:sz w:val="24"/>
                <w:szCs w:val="24"/>
                <w:highlight w:val="none"/>
              </w:rPr>
            </w:pPr>
          </w:p>
        </w:tc>
      </w:tr>
      <w:tr w14:paraId="7B7E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4BEDF2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第7.2款</w:t>
            </w:r>
          </w:p>
        </w:tc>
        <w:tc>
          <w:tcPr>
            <w:tcW w:w="2769" w:type="dxa"/>
            <w:vAlign w:val="center"/>
          </w:tcPr>
          <w:p w14:paraId="033E10F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运输特殊要求</w:t>
            </w:r>
          </w:p>
        </w:tc>
        <w:tc>
          <w:tcPr>
            <w:tcW w:w="3295" w:type="dxa"/>
            <w:vAlign w:val="center"/>
          </w:tcPr>
          <w:p w14:paraId="0BFD32BA">
            <w:pPr>
              <w:spacing w:line="360" w:lineRule="auto"/>
              <w:rPr>
                <w:rFonts w:ascii="宋体" w:hAnsi="宋体" w:eastAsia="宋体" w:cs="Times New Roman"/>
                <w:color w:val="auto"/>
                <w:kern w:val="0"/>
                <w:sz w:val="24"/>
                <w:szCs w:val="24"/>
                <w:highlight w:val="none"/>
              </w:rPr>
            </w:pPr>
          </w:p>
        </w:tc>
      </w:tr>
      <w:tr w14:paraId="7FA3D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E58931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第7.3款</w:t>
            </w:r>
          </w:p>
        </w:tc>
        <w:tc>
          <w:tcPr>
            <w:tcW w:w="2769" w:type="dxa"/>
            <w:vAlign w:val="center"/>
          </w:tcPr>
          <w:p w14:paraId="35938F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保险要求</w:t>
            </w:r>
          </w:p>
        </w:tc>
        <w:tc>
          <w:tcPr>
            <w:tcW w:w="3295" w:type="dxa"/>
            <w:vAlign w:val="center"/>
          </w:tcPr>
          <w:p w14:paraId="6C5D4C5B">
            <w:pPr>
              <w:spacing w:line="360" w:lineRule="auto"/>
              <w:rPr>
                <w:rFonts w:ascii="宋体" w:hAnsi="宋体" w:eastAsia="宋体" w:cs="Times New Roman"/>
                <w:color w:val="auto"/>
                <w:kern w:val="0"/>
                <w:sz w:val="24"/>
                <w:szCs w:val="24"/>
                <w:highlight w:val="none"/>
              </w:rPr>
            </w:pPr>
          </w:p>
        </w:tc>
      </w:tr>
      <w:tr w14:paraId="1D0C1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62D5E8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第8.2（1）项</w:t>
            </w:r>
          </w:p>
        </w:tc>
        <w:tc>
          <w:tcPr>
            <w:tcW w:w="2769" w:type="dxa"/>
            <w:vAlign w:val="center"/>
          </w:tcPr>
          <w:p w14:paraId="72FB675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质量保证期</w:t>
            </w:r>
          </w:p>
        </w:tc>
        <w:tc>
          <w:tcPr>
            <w:tcW w:w="3295" w:type="dxa"/>
            <w:vAlign w:val="center"/>
          </w:tcPr>
          <w:p w14:paraId="27D26D38">
            <w:pPr>
              <w:spacing w:line="360" w:lineRule="auto"/>
              <w:rPr>
                <w:rFonts w:ascii="宋体" w:hAnsi="宋体" w:eastAsia="宋体" w:cs="Times New Roman"/>
                <w:color w:val="auto"/>
                <w:sz w:val="24"/>
                <w:szCs w:val="24"/>
                <w:highlight w:val="none"/>
              </w:rPr>
            </w:pPr>
          </w:p>
        </w:tc>
      </w:tr>
      <w:tr w14:paraId="2104B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DDF8A3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第8.2（3）项</w:t>
            </w:r>
          </w:p>
        </w:tc>
        <w:tc>
          <w:tcPr>
            <w:tcW w:w="2769" w:type="dxa"/>
            <w:vAlign w:val="center"/>
          </w:tcPr>
          <w:p w14:paraId="1FAF058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货物质量缺陷响应时间</w:t>
            </w:r>
          </w:p>
        </w:tc>
        <w:tc>
          <w:tcPr>
            <w:tcW w:w="3295" w:type="dxa"/>
            <w:vAlign w:val="center"/>
          </w:tcPr>
          <w:p w14:paraId="099B72B1">
            <w:pPr>
              <w:spacing w:line="360" w:lineRule="auto"/>
              <w:rPr>
                <w:rFonts w:ascii="宋体" w:hAnsi="宋体" w:eastAsia="宋体" w:cs="Times New Roman"/>
                <w:color w:val="auto"/>
                <w:sz w:val="24"/>
                <w:szCs w:val="24"/>
                <w:highlight w:val="none"/>
              </w:rPr>
            </w:pPr>
          </w:p>
        </w:tc>
      </w:tr>
      <w:tr w14:paraId="1DA99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CC9D17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第11.1款</w:t>
            </w:r>
          </w:p>
        </w:tc>
        <w:tc>
          <w:tcPr>
            <w:tcW w:w="2769" w:type="dxa"/>
            <w:vAlign w:val="center"/>
          </w:tcPr>
          <w:p w14:paraId="3609D1C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其他应当保密的信息</w:t>
            </w:r>
          </w:p>
        </w:tc>
        <w:tc>
          <w:tcPr>
            <w:tcW w:w="3295" w:type="dxa"/>
            <w:vAlign w:val="center"/>
          </w:tcPr>
          <w:p w14:paraId="63FAC1B0">
            <w:pPr>
              <w:spacing w:line="360" w:lineRule="auto"/>
              <w:rPr>
                <w:rFonts w:ascii="宋体" w:hAnsi="宋体" w:eastAsia="宋体" w:cs="Times New Roman"/>
                <w:color w:val="auto"/>
                <w:sz w:val="24"/>
                <w:szCs w:val="24"/>
                <w:highlight w:val="none"/>
              </w:rPr>
            </w:pPr>
          </w:p>
        </w:tc>
      </w:tr>
      <w:tr w14:paraId="71BDA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878C95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第12.2款</w:t>
            </w:r>
          </w:p>
        </w:tc>
        <w:tc>
          <w:tcPr>
            <w:tcW w:w="2769" w:type="dxa"/>
            <w:vAlign w:val="center"/>
          </w:tcPr>
          <w:p w14:paraId="060DF7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合同价款支付时间</w:t>
            </w:r>
          </w:p>
        </w:tc>
        <w:tc>
          <w:tcPr>
            <w:tcW w:w="3295" w:type="dxa"/>
            <w:vAlign w:val="center"/>
          </w:tcPr>
          <w:p w14:paraId="71BB3BF5">
            <w:pPr>
              <w:spacing w:line="360" w:lineRule="auto"/>
              <w:rPr>
                <w:rFonts w:ascii="宋体" w:hAnsi="宋体" w:eastAsia="宋体" w:cs="Times New Roman"/>
                <w:color w:val="auto"/>
                <w:sz w:val="24"/>
                <w:szCs w:val="24"/>
                <w:highlight w:val="none"/>
              </w:rPr>
            </w:pPr>
          </w:p>
        </w:tc>
      </w:tr>
      <w:tr w14:paraId="7957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AA04DE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第13.2款</w:t>
            </w:r>
          </w:p>
        </w:tc>
        <w:tc>
          <w:tcPr>
            <w:tcW w:w="2769" w:type="dxa"/>
            <w:vAlign w:val="center"/>
          </w:tcPr>
          <w:p w14:paraId="1214829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履约保证金不予退还的情形</w:t>
            </w:r>
          </w:p>
        </w:tc>
        <w:tc>
          <w:tcPr>
            <w:tcW w:w="3295" w:type="dxa"/>
            <w:vAlign w:val="center"/>
          </w:tcPr>
          <w:p w14:paraId="104981AE">
            <w:pPr>
              <w:spacing w:line="360" w:lineRule="auto"/>
              <w:rPr>
                <w:rFonts w:ascii="宋体" w:hAnsi="宋体" w:eastAsia="宋体" w:cs="Times New Roman"/>
                <w:color w:val="auto"/>
                <w:sz w:val="24"/>
                <w:szCs w:val="24"/>
                <w:highlight w:val="none"/>
              </w:rPr>
            </w:pPr>
          </w:p>
        </w:tc>
      </w:tr>
      <w:tr w14:paraId="3B945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A0C5A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第13.3款</w:t>
            </w:r>
          </w:p>
        </w:tc>
        <w:tc>
          <w:tcPr>
            <w:tcW w:w="2769" w:type="dxa"/>
            <w:vAlign w:val="center"/>
          </w:tcPr>
          <w:p w14:paraId="0E5AF7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履约保证金退还时间及逾期退还的违约金</w:t>
            </w:r>
          </w:p>
        </w:tc>
        <w:tc>
          <w:tcPr>
            <w:tcW w:w="3295" w:type="dxa"/>
            <w:vAlign w:val="center"/>
          </w:tcPr>
          <w:p w14:paraId="69440C59">
            <w:pPr>
              <w:spacing w:line="360" w:lineRule="auto"/>
              <w:rPr>
                <w:rFonts w:ascii="宋体" w:hAnsi="宋体" w:eastAsia="宋体" w:cs="Times New Roman"/>
                <w:color w:val="auto"/>
                <w:sz w:val="24"/>
                <w:szCs w:val="24"/>
                <w:highlight w:val="none"/>
              </w:rPr>
            </w:pPr>
          </w:p>
        </w:tc>
      </w:tr>
      <w:tr w14:paraId="0781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3BC71D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第14.1（3）项</w:t>
            </w:r>
          </w:p>
        </w:tc>
        <w:tc>
          <w:tcPr>
            <w:tcW w:w="2769" w:type="dxa"/>
            <w:vAlign w:val="center"/>
          </w:tcPr>
          <w:p w14:paraId="2C90033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运行监督、维修期限</w:t>
            </w:r>
          </w:p>
        </w:tc>
        <w:tc>
          <w:tcPr>
            <w:tcW w:w="3295" w:type="dxa"/>
            <w:vAlign w:val="center"/>
          </w:tcPr>
          <w:p w14:paraId="7EC25927">
            <w:pPr>
              <w:spacing w:line="360" w:lineRule="auto"/>
              <w:rPr>
                <w:rFonts w:ascii="宋体" w:hAnsi="宋体" w:eastAsia="宋体" w:cs="Times New Roman"/>
                <w:color w:val="auto"/>
                <w:sz w:val="24"/>
                <w:szCs w:val="24"/>
                <w:highlight w:val="none"/>
              </w:rPr>
            </w:pPr>
          </w:p>
        </w:tc>
      </w:tr>
      <w:tr w14:paraId="5B5B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30A705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第14.1（5）项</w:t>
            </w:r>
          </w:p>
        </w:tc>
        <w:tc>
          <w:tcPr>
            <w:tcW w:w="2769" w:type="dxa"/>
            <w:vAlign w:val="center"/>
          </w:tcPr>
          <w:p w14:paraId="683C05D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货物回收的约定</w:t>
            </w:r>
          </w:p>
        </w:tc>
        <w:tc>
          <w:tcPr>
            <w:tcW w:w="3295" w:type="dxa"/>
            <w:vAlign w:val="center"/>
          </w:tcPr>
          <w:p w14:paraId="1AD29452">
            <w:pPr>
              <w:spacing w:line="360" w:lineRule="auto"/>
              <w:rPr>
                <w:rFonts w:ascii="宋体" w:hAnsi="宋体" w:eastAsia="宋体" w:cs="Times New Roman"/>
                <w:color w:val="auto"/>
                <w:sz w:val="24"/>
                <w:szCs w:val="24"/>
                <w:highlight w:val="none"/>
              </w:rPr>
            </w:pPr>
          </w:p>
        </w:tc>
      </w:tr>
      <w:tr w14:paraId="6543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9C849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第14.1（6）项</w:t>
            </w:r>
          </w:p>
        </w:tc>
        <w:tc>
          <w:tcPr>
            <w:tcW w:w="2769" w:type="dxa"/>
            <w:vAlign w:val="center"/>
          </w:tcPr>
          <w:p w14:paraId="45E3C11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乙方提供的其他服务</w:t>
            </w:r>
          </w:p>
        </w:tc>
        <w:tc>
          <w:tcPr>
            <w:tcW w:w="3295" w:type="dxa"/>
            <w:vAlign w:val="center"/>
          </w:tcPr>
          <w:p w14:paraId="50EF5262">
            <w:pPr>
              <w:spacing w:line="360" w:lineRule="auto"/>
              <w:rPr>
                <w:rFonts w:ascii="宋体" w:hAnsi="宋体" w:eastAsia="宋体" w:cs="Times New Roman"/>
                <w:color w:val="auto"/>
                <w:sz w:val="24"/>
                <w:szCs w:val="24"/>
                <w:highlight w:val="none"/>
              </w:rPr>
            </w:pPr>
          </w:p>
        </w:tc>
      </w:tr>
      <w:tr w14:paraId="2DDF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BAEADF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第15.1款</w:t>
            </w:r>
          </w:p>
        </w:tc>
        <w:tc>
          <w:tcPr>
            <w:tcW w:w="2769" w:type="dxa"/>
            <w:vAlign w:val="center"/>
          </w:tcPr>
          <w:p w14:paraId="41D1AAA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修理、重作、更换相关具体规定</w:t>
            </w:r>
          </w:p>
        </w:tc>
        <w:tc>
          <w:tcPr>
            <w:tcW w:w="3295" w:type="dxa"/>
            <w:vAlign w:val="center"/>
          </w:tcPr>
          <w:p w14:paraId="1333A875">
            <w:pPr>
              <w:spacing w:line="360" w:lineRule="auto"/>
              <w:rPr>
                <w:rFonts w:ascii="宋体" w:hAnsi="宋体" w:eastAsia="宋体" w:cs="Times New Roman"/>
                <w:color w:val="auto"/>
                <w:sz w:val="24"/>
                <w:szCs w:val="24"/>
                <w:highlight w:val="none"/>
              </w:rPr>
            </w:pPr>
          </w:p>
        </w:tc>
      </w:tr>
      <w:tr w14:paraId="5E007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92F2C6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第15.2（2）项</w:t>
            </w:r>
          </w:p>
        </w:tc>
        <w:tc>
          <w:tcPr>
            <w:tcW w:w="2769" w:type="dxa"/>
            <w:vAlign w:val="center"/>
          </w:tcPr>
          <w:p w14:paraId="56AE1F4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迟延交货赔偿费</w:t>
            </w:r>
          </w:p>
        </w:tc>
        <w:tc>
          <w:tcPr>
            <w:tcW w:w="3295" w:type="dxa"/>
            <w:vAlign w:val="center"/>
          </w:tcPr>
          <w:p w14:paraId="1048D51F">
            <w:pPr>
              <w:spacing w:line="360" w:lineRule="auto"/>
              <w:rPr>
                <w:rFonts w:ascii="宋体" w:hAnsi="宋体" w:eastAsia="宋体" w:cs="Times New Roman"/>
                <w:color w:val="auto"/>
                <w:sz w:val="24"/>
                <w:szCs w:val="24"/>
                <w:highlight w:val="none"/>
              </w:rPr>
            </w:pPr>
          </w:p>
        </w:tc>
      </w:tr>
      <w:tr w14:paraId="230C6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6F2C94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第15.3款</w:t>
            </w:r>
          </w:p>
        </w:tc>
        <w:tc>
          <w:tcPr>
            <w:tcW w:w="2769" w:type="dxa"/>
            <w:vAlign w:val="center"/>
          </w:tcPr>
          <w:p w14:paraId="2BBF629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逾期付款利息</w:t>
            </w:r>
          </w:p>
        </w:tc>
        <w:tc>
          <w:tcPr>
            <w:tcW w:w="3295" w:type="dxa"/>
            <w:vAlign w:val="center"/>
          </w:tcPr>
          <w:p w14:paraId="3DA81AD7">
            <w:pPr>
              <w:spacing w:line="360" w:lineRule="auto"/>
              <w:rPr>
                <w:rFonts w:ascii="宋体" w:hAnsi="宋体" w:eastAsia="宋体" w:cs="Times New Roman"/>
                <w:color w:val="auto"/>
                <w:sz w:val="24"/>
                <w:szCs w:val="24"/>
                <w:highlight w:val="none"/>
              </w:rPr>
            </w:pPr>
          </w:p>
        </w:tc>
      </w:tr>
      <w:tr w14:paraId="5772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5B6B69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第15.4款</w:t>
            </w:r>
          </w:p>
        </w:tc>
        <w:tc>
          <w:tcPr>
            <w:tcW w:w="2769" w:type="dxa"/>
            <w:vAlign w:val="center"/>
          </w:tcPr>
          <w:p w14:paraId="0A3DD6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其他违约责任</w:t>
            </w:r>
          </w:p>
        </w:tc>
        <w:tc>
          <w:tcPr>
            <w:tcW w:w="3295" w:type="dxa"/>
            <w:vAlign w:val="center"/>
          </w:tcPr>
          <w:p w14:paraId="73DE8B58">
            <w:pPr>
              <w:spacing w:line="360" w:lineRule="auto"/>
              <w:rPr>
                <w:rFonts w:ascii="宋体" w:hAnsi="宋体" w:eastAsia="宋体" w:cs="Times New Roman"/>
                <w:color w:val="auto"/>
                <w:sz w:val="24"/>
                <w:szCs w:val="24"/>
                <w:highlight w:val="none"/>
              </w:rPr>
            </w:pPr>
          </w:p>
        </w:tc>
      </w:tr>
      <w:tr w14:paraId="07EF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5D88E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第19.2款</w:t>
            </w:r>
          </w:p>
        </w:tc>
        <w:tc>
          <w:tcPr>
            <w:tcW w:w="2769" w:type="dxa"/>
            <w:vAlign w:val="center"/>
          </w:tcPr>
          <w:p w14:paraId="5646DB7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解决争议的方法</w:t>
            </w:r>
          </w:p>
        </w:tc>
        <w:tc>
          <w:tcPr>
            <w:tcW w:w="3295" w:type="dxa"/>
            <w:vAlign w:val="center"/>
          </w:tcPr>
          <w:p w14:paraId="4137F7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因本合同及合同有关事项发生的争议，按下列第____ 种方式解决：</w:t>
            </w:r>
          </w:p>
          <w:p w14:paraId="1ACC5C7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（1）向 _____仲裁委员会申请仲裁，仲裁地点为 ____；</w:t>
            </w:r>
          </w:p>
          <w:p w14:paraId="2D5E16B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（2）向__________人民法院起诉。</w:t>
            </w:r>
          </w:p>
        </w:tc>
      </w:tr>
      <w:tr w14:paraId="32F7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34800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第23.1款</w:t>
            </w:r>
          </w:p>
        </w:tc>
        <w:tc>
          <w:tcPr>
            <w:tcW w:w="2769" w:type="dxa"/>
            <w:vAlign w:val="center"/>
          </w:tcPr>
          <w:p w14:paraId="0939E2C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其他专用条款</w:t>
            </w:r>
          </w:p>
        </w:tc>
        <w:tc>
          <w:tcPr>
            <w:tcW w:w="3295" w:type="dxa"/>
            <w:vAlign w:val="center"/>
          </w:tcPr>
          <w:p w14:paraId="49FB786D">
            <w:pPr>
              <w:spacing w:line="360" w:lineRule="auto"/>
              <w:rPr>
                <w:rFonts w:ascii="宋体" w:hAnsi="宋体" w:eastAsia="宋体" w:cs="Times New Roman"/>
                <w:color w:val="auto"/>
                <w:sz w:val="24"/>
                <w:szCs w:val="24"/>
                <w:highlight w:val="none"/>
              </w:rPr>
            </w:pPr>
          </w:p>
        </w:tc>
      </w:tr>
    </w:tbl>
    <w:p w14:paraId="309823D5">
      <w:pPr>
        <w:rPr>
          <w:rFonts w:ascii="Calibri" w:hAnsi="Calibri" w:eastAsia="宋体" w:cs="Times New Roman"/>
          <w:color w:val="auto"/>
          <w:highlight w:val="none"/>
        </w:rPr>
      </w:pPr>
    </w:p>
    <w:p w14:paraId="571BF3BE">
      <w:pPr>
        <w:rPr>
          <w:color w:val="auto"/>
          <w:highlight w:val="none"/>
        </w:rPr>
      </w:pPr>
    </w:p>
    <w:p w14:paraId="0B51EE7C">
      <w:pPr>
        <w:rPr>
          <w:color w:val="auto"/>
          <w:highlight w:val="none"/>
        </w:rPr>
      </w:pPr>
    </w:p>
    <w:p w14:paraId="0ECDE799">
      <w:pPr>
        <w:rPr>
          <w:rFonts w:ascii="Calibri" w:hAnsi="Calibri" w:eastAsia="宋体" w:cs="Times New Roman"/>
          <w:color w:val="auto"/>
          <w:highlight w:val="none"/>
        </w:rPr>
        <w:sectPr>
          <w:pgSz w:w="11906" w:h="16838"/>
          <w:pgMar w:top="1418" w:right="1418" w:bottom="1418" w:left="1418" w:header="851" w:footer="992" w:gutter="0"/>
          <w:cols w:space="425" w:num="1"/>
          <w:docGrid w:type="lines" w:linePitch="312" w:charSpace="0"/>
        </w:sectPr>
      </w:pPr>
    </w:p>
    <w:p w14:paraId="1DA25E2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3" w:name="_Toc139103828"/>
      <w:r>
        <w:rPr>
          <w:rFonts w:ascii="黑体" w:hAnsi="黑体" w:eastAsia="黑体" w:cs="Times New Roman"/>
          <w:color w:val="auto"/>
          <w:kern w:val="0"/>
          <w:sz w:val="32"/>
          <w:szCs w:val="44"/>
          <w:highlight w:val="none"/>
        </w:rPr>
        <w:t>第七章  电子投标文件格式</w:t>
      </w:r>
      <w:bookmarkEnd w:id="33"/>
    </w:p>
    <w:p w14:paraId="004A5A99">
      <w:pPr>
        <w:spacing w:beforeLines="50" w:afterLines="50"/>
        <w:jc w:val="center"/>
        <w:rPr>
          <w:b/>
          <w:color w:val="auto"/>
          <w:sz w:val="28"/>
          <w:szCs w:val="28"/>
          <w:highlight w:val="none"/>
        </w:rPr>
      </w:pPr>
      <w:r>
        <w:rPr>
          <w:b/>
          <w:color w:val="auto"/>
          <w:sz w:val="28"/>
          <w:szCs w:val="28"/>
          <w:highlight w:val="none"/>
        </w:rPr>
        <w:t>编制说明</w:t>
      </w:r>
    </w:p>
    <w:p w14:paraId="530736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1、除招标文件另有规定外，本章中：</w:t>
      </w:r>
    </w:p>
    <w:p w14:paraId="0ED5E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1.1涉及投标人的“全称”：</w:t>
      </w:r>
    </w:p>
    <w:p w14:paraId="54D3628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（1）不接受联合体投标的，指投标人的全称。</w:t>
      </w:r>
    </w:p>
    <w:p w14:paraId="12830E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（2）接受联合体投标且投标人为联合体的，指牵头方的全称并加注（联合体牵头方），即应表述为：“牵头方的全称（联合体牵头方）”。</w:t>
      </w:r>
    </w:p>
    <w:p w14:paraId="1AC2F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1.2涉及投标人“加盖单位公章”：</w:t>
      </w:r>
    </w:p>
    <w:p w14:paraId="1C6D5DA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（1）不接受联合体投标的，指加盖投标人的单位公章。</w:t>
      </w:r>
    </w:p>
    <w:p w14:paraId="6DD3A8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（2）接受联合体投标且投标人为联合体的，指加盖联合体牵头方的单位公章。</w:t>
      </w:r>
    </w:p>
    <w:p w14:paraId="1CE529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1.3涉及“投标人代表签字”：</w:t>
      </w:r>
    </w:p>
    <w:p w14:paraId="332D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（1）不接受联合体投标的，指由投标人的单位负责人或其授权的委托代理人签字，由委托代理人签字的，应提供“单位授权书”。</w:t>
      </w:r>
    </w:p>
    <w:p w14:paraId="401F6B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（2）接受联合体投标且投标人为联合体的，指由联合体牵头方的单位负责人或其授权的委托代理人签字，由委托代理人签字的，应提供“单位授权书”。</w:t>
      </w:r>
    </w:p>
    <w:p w14:paraId="7156C9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1.4“其他组织”指合伙企业、非企业专业服务机构、个体工商户、农村承包经营户等。</w:t>
      </w:r>
    </w:p>
    <w:p w14:paraId="1C06CA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1.5“自然人”指具有完全民事行为能力、能够承担民事责任和义务的中国公民。</w:t>
      </w:r>
    </w:p>
    <w:p w14:paraId="14FD1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2、除招标文件另有规定外，本章中“投标人的资格及资信证明文件”：</w:t>
      </w:r>
    </w:p>
    <w:p w14:paraId="1E47D9C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2.1投标人应按照招标文件第四章第1.3条第（2）款规定及本章规定进行编制，如有必要，可增加附页，附页作为资格及资信文件的组成部分。</w:t>
      </w:r>
    </w:p>
    <w:p w14:paraId="54173CF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2.2接受联合体投标且投标人为联合体的，联合体中的各方均应按照本章第2.1条规定提交相应的全部资料。</w:t>
      </w:r>
    </w:p>
    <w:p w14:paraId="6E210B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3、投标人对电子投标文件的索引应编制页码。</w:t>
      </w:r>
    </w:p>
    <w:p w14:paraId="0C16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4、本章提供格式仅供参考，投标人应根据自身实际情况制作电子投标文件。</w:t>
      </w:r>
    </w:p>
    <w:p w14:paraId="4A239A18">
      <w:pPr>
        <w:rPr>
          <w:color w:val="auto"/>
          <w:highlight w:val="none"/>
        </w:rPr>
        <w:sectPr>
          <w:pgSz w:w="11906" w:h="16838"/>
          <w:pgMar w:top="1418" w:right="1418" w:bottom="1418" w:left="1418" w:header="851" w:footer="992" w:gutter="0"/>
          <w:cols w:space="425" w:num="1"/>
          <w:docGrid w:type="lines" w:linePitch="312" w:charSpace="0"/>
        </w:sectPr>
      </w:pPr>
    </w:p>
    <w:p w14:paraId="35A6098F">
      <w:pPr>
        <w:spacing w:beforeLines="50" w:afterLines="50"/>
        <w:jc w:val="center"/>
        <w:rPr>
          <w:b/>
          <w:color w:val="auto"/>
          <w:sz w:val="28"/>
          <w:szCs w:val="28"/>
          <w:highlight w:val="none"/>
        </w:rPr>
      </w:pPr>
      <w:r>
        <w:rPr>
          <w:b/>
          <w:color w:val="auto"/>
          <w:sz w:val="28"/>
          <w:szCs w:val="28"/>
          <w:highlight w:val="none"/>
        </w:rPr>
        <w:t>封面格式（资格及资信证明部分）</w:t>
      </w:r>
    </w:p>
    <w:p w14:paraId="313C6174">
      <w:pPr>
        <w:jc w:val="center"/>
        <w:rPr>
          <w:rFonts w:ascii="宋体" w:hAnsi="宋体" w:eastAsia="宋体"/>
          <w:b/>
          <w:color w:val="auto"/>
          <w:sz w:val="32"/>
          <w:szCs w:val="32"/>
          <w:highlight w:val="none"/>
        </w:rPr>
      </w:pPr>
    </w:p>
    <w:p w14:paraId="00355730">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07F1CADA">
      <w:pPr>
        <w:jc w:val="center"/>
        <w:rPr>
          <w:rFonts w:ascii="宋体" w:hAnsi="宋体" w:eastAsia="宋体"/>
          <w:b/>
          <w:color w:val="auto"/>
          <w:sz w:val="32"/>
          <w:szCs w:val="32"/>
          <w:highlight w:val="none"/>
        </w:rPr>
      </w:pPr>
      <w:r>
        <w:rPr>
          <w:rFonts w:ascii="宋体" w:hAnsi="宋体" w:eastAsia="宋体"/>
          <w:b/>
          <w:color w:val="auto"/>
          <w:sz w:val="32"/>
          <w:szCs w:val="32"/>
          <w:highlight w:val="none"/>
        </w:rPr>
        <w:t>（资格及资信证明部分）</w:t>
      </w:r>
    </w:p>
    <w:p w14:paraId="7854334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0252155">
      <w:pPr>
        <w:jc w:val="center"/>
        <w:rPr>
          <w:rFonts w:ascii="宋体" w:hAnsi="宋体" w:eastAsia="宋体"/>
          <w:b/>
          <w:color w:val="auto"/>
          <w:sz w:val="32"/>
          <w:szCs w:val="32"/>
          <w:highlight w:val="none"/>
        </w:rPr>
      </w:pPr>
    </w:p>
    <w:p w14:paraId="42652800">
      <w:pPr>
        <w:jc w:val="center"/>
        <w:rPr>
          <w:rFonts w:ascii="宋体" w:hAnsi="宋体" w:eastAsia="宋体"/>
          <w:b/>
          <w:color w:val="auto"/>
          <w:sz w:val="32"/>
          <w:szCs w:val="32"/>
          <w:highlight w:val="none"/>
        </w:rPr>
      </w:pPr>
    </w:p>
    <w:p w14:paraId="4E663120">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259D130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35F5063C">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D188EF7">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31DC49A">
      <w:pPr>
        <w:jc w:val="center"/>
        <w:rPr>
          <w:rFonts w:ascii="宋体" w:hAnsi="宋体" w:eastAsia="宋体"/>
          <w:b/>
          <w:color w:val="auto"/>
          <w:sz w:val="32"/>
          <w:szCs w:val="32"/>
          <w:highlight w:val="none"/>
        </w:rPr>
      </w:pPr>
    </w:p>
    <w:p w14:paraId="685B8045">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6E300869">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2D19CDC0">
      <w:pPr>
        <w:rPr>
          <w:color w:val="auto"/>
          <w:highlight w:val="none"/>
        </w:rPr>
      </w:pPr>
    </w:p>
    <w:p w14:paraId="1F2B3F0F">
      <w:pPr>
        <w:rPr>
          <w:color w:val="auto"/>
          <w:highlight w:val="none"/>
        </w:rPr>
        <w:sectPr>
          <w:pgSz w:w="11906" w:h="16838"/>
          <w:pgMar w:top="1418" w:right="1418" w:bottom="1418" w:left="1418" w:header="851" w:footer="992" w:gutter="0"/>
          <w:cols w:space="425" w:num="1"/>
          <w:docGrid w:type="lines" w:linePitch="312" w:charSpace="0"/>
        </w:sectPr>
      </w:pPr>
    </w:p>
    <w:p w14:paraId="09583DE1">
      <w:pPr>
        <w:spacing w:beforeLines="50" w:afterLines="50"/>
        <w:jc w:val="center"/>
        <w:rPr>
          <w:b/>
          <w:color w:val="auto"/>
          <w:sz w:val="28"/>
          <w:szCs w:val="28"/>
          <w:highlight w:val="none"/>
        </w:rPr>
      </w:pPr>
      <w:r>
        <w:rPr>
          <w:b/>
          <w:color w:val="auto"/>
          <w:sz w:val="28"/>
          <w:szCs w:val="28"/>
          <w:highlight w:val="none"/>
        </w:rPr>
        <w:t>索引</w:t>
      </w:r>
    </w:p>
    <w:p w14:paraId="50E3DF6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一、投标函</w:t>
      </w:r>
    </w:p>
    <w:p w14:paraId="03395B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二、投标人的资格及资信证明文件</w:t>
      </w:r>
    </w:p>
    <w:p w14:paraId="3B535D7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三、投标保证金</w:t>
      </w:r>
    </w:p>
    <w:p w14:paraId="1259B1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C54F1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7B51110D">
      <w:pPr>
        <w:pStyle w:val="54"/>
        <w:spacing w:line="360" w:lineRule="auto"/>
        <w:ind w:firstLine="480" w:firstLineChars="200"/>
        <w:rPr>
          <w:rFonts w:hint="default" w:asciiTheme="minorEastAsia" w:hAnsiTheme="minorEastAsia"/>
          <w:color w:val="auto"/>
          <w:sz w:val="24"/>
          <w:szCs w:val="24"/>
          <w:highlight w:val="none"/>
        </w:rPr>
      </w:pPr>
    </w:p>
    <w:p w14:paraId="5B11F5D8">
      <w:pPr>
        <w:rPr>
          <w:color w:val="auto"/>
          <w:highlight w:val="none"/>
        </w:rPr>
        <w:sectPr>
          <w:pgSz w:w="11906" w:h="16838"/>
          <w:pgMar w:top="1418" w:right="1418" w:bottom="1418" w:left="1418" w:header="851" w:footer="992" w:gutter="0"/>
          <w:cols w:space="425" w:num="1"/>
          <w:docGrid w:type="lines" w:linePitch="312" w:charSpace="0"/>
        </w:sectPr>
      </w:pPr>
    </w:p>
    <w:p w14:paraId="6EA7F16F">
      <w:pPr>
        <w:spacing w:beforeLines="50" w:afterLines="50"/>
        <w:jc w:val="center"/>
        <w:rPr>
          <w:b/>
          <w:color w:val="auto"/>
          <w:sz w:val="28"/>
          <w:szCs w:val="28"/>
          <w:highlight w:val="none"/>
        </w:rPr>
      </w:pPr>
      <w:r>
        <w:rPr>
          <w:b/>
          <w:color w:val="auto"/>
          <w:sz w:val="28"/>
          <w:szCs w:val="28"/>
          <w:highlight w:val="none"/>
        </w:rPr>
        <w:t>一、投标函</w:t>
      </w:r>
    </w:p>
    <w:p w14:paraId="5C8C0DC2">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AD15D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兹收到贵单位关于</w:t>
      </w:r>
      <w:r>
        <w:rPr>
          <w:rFonts w:asciiTheme="minorEastAsia" w:hAnsiTheme="minorEastAsia"/>
          <w:color w:val="auto"/>
          <w:sz w:val="24"/>
          <w:szCs w:val="24"/>
          <w:highlight w:val="none"/>
          <w:u w:val="single"/>
        </w:rPr>
        <w:t xml:space="preserve">（填写“项目名称”） </w:t>
      </w:r>
      <w:r>
        <w:rPr>
          <w:rFonts w:asciiTheme="minorEastAsia" w:hAnsiTheme="minorEastAsia"/>
          <w:color w:val="auto"/>
          <w:sz w:val="24"/>
          <w:szCs w:val="24"/>
          <w:highlight w:val="none"/>
        </w:rPr>
        <w:t>项目</w:t>
      </w:r>
      <w:r>
        <w:rPr>
          <w:rFonts w:asciiTheme="minorEastAsia" w:hAnsiTheme="minorEastAsia"/>
          <w:color w:val="auto"/>
          <w:sz w:val="24"/>
          <w:szCs w:val="24"/>
          <w:highlight w:val="none"/>
          <w:u w:val="single"/>
        </w:rPr>
        <w:t xml:space="preserve">（项目编号：　　　　　） </w:t>
      </w:r>
      <w:r>
        <w:rPr>
          <w:rFonts w:asciiTheme="minorEastAsia" w:hAnsiTheme="minorEastAsia"/>
          <w:color w:val="auto"/>
          <w:sz w:val="24"/>
          <w:szCs w:val="24"/>
          <w:highlight w:val="none"/>
        </w:rPr>
        <w:t>的投标邀请，本投标人代表</w:t>
      </w:r>
      <w:r>
        <w:rPr>
          <w:rFonts w:asciiTheme="minorEastAsia" w:hAnsiTheme="minorEastAsia"/>
          <w:color w:val="auto"/>
          <w:sz w:val="24"/>
          <w:szCs w:val="24"/>
          <w:highlight w:val="none"/>
          <w:u w:val="single"/>
        </w:rPr>
        <w:t xml:space="preserve">（填写“全名”） </w:t>
      </w:r>
      <w:r>
        <w:rPr>
          <w:rFonts w:asciiTheme="minorEastAsia" w:hAnsiTheme="minorEastAsia"/>
          <w:color w:val="auto"/>
          <w:sz w:val="24"/>
          <w:szCs w:val="24"/>
          <w:highlight w:val="none"/>
        </w:rPr>
        <w:t>已获得我方正式授权并代表投标人（填写“全称”）参加投标，并提交电子投标文件。我方提交的全部电子投标文件由下述部分组成：</w:t>
      </w:r>
    </w:p>
    <w:p w14:paraId="11D9219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613717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095DF91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7E4FE1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56558E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27B0AC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550FD6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0A43C2D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60D14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3AF99B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784F9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5C4A4B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17161CB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525920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166AEC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根据本函，本投标人代表宣布我方保证遵守招标文件的全部规定，同时：</w:t>
      </w:r>
    </w:p>
    <w:p w14:paraId="2432BA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1、确认：</w:t>
      </w:r>
    </w:p>
    <w:p w14:paraId="1C6199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1.1所投采购包的投标报价详见“开标（报价）一览表”及“投标（响应）报价明细表”。</w:t>
      </w:r>
    </w:p>
    <w:p w14:paraId="1EA99E7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5CBE1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2、承诺及声明：</w:t>
      </w:r>
    </w:p>
    <w:p w14:paraId="657E0A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2.1我方具备招标文件第一章载明的“投标人的资格要求”且符合招标文件第三章载明的“二、投标人”之规定，否则投标无效。</w:t>
      </w:r>
    </w:p>
    <w:p w14:paraId="0FE109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4A5B1C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2.3我方提供的标的价格不高于同期市场价格，否则产生不利后果由我方承担责任。</w:t>
      </w:r>
    </w:p>
    <w:p w14:paraId="0FEB79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2.4投标保证金：若出现招标文件第三章规定的不予退还情形，同意贵单位不予退还。</w:t>
      </w:r>
    </w:p>
    <w:p w14:paraId="5304B5E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2.5投标有效期：按照招标文件第三章规定执行，并在招标文件第二章载明的期限内保持有效。</w:t>
      </w:r>
    </w:p>
    <w:p w14:paraId="3A98B1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2.6若中标，将按照招标文件、我方电子投标文件及政府采购合同履行责任和义务。</w:t>
      </w:r>
    </w:p>
    <w:p w14:paraId="16C4408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2.7若贵单位要求，我方同意提供与本项目投标有关的一切资料、数据或文件，并完全理解贵单位不一定要接受最低的投标报价或收到的任何投标。</w:t>
      </w:r>
    </w:p>
    <w:p w14:paraId="72D5353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2.8我方承诺遵守《中华人民共和国劳动合同法》有关规定和《中华人民共和国妇女权益保障法 》中关于“劳动和社会保障权益”的有关要求。</w:t>
      </w:r>
    </w:p>
    <w:p w14:paraId="75D8BD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2.9我方承诺电子投标文件所提供的全部资料真实可靠，并接受评标委员会、采购人、采购代理机构、监管部门进一步审查其中任何资料真实性的要求。</w:t>
      </w:r>
    </w:p>
    <w:p w14:paraId="24CBBC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2.10除招标文件另有规定外，对于贵单位按照下述联络方式发出的任何信息或通知，均视为我方已收悉前述信息或通知的全部内容：</w:t>
      </w:r>
    </w:p>
    <w:p w14:paraId="63FAD2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通信地址：</w:t>
      </w:r>
    </w:p>
    <w:p w14:paraId="2D8E64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p>
    <w:p w14:paraId="5DA05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联系方法：（包括但不限于：联系人、联系电话、手机、传真、电子邮箱等）</w:t>
      </w:r>
    </w:p>
    <w:p w14:paraId="3B9EDB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投标人：（全称并加盖单位公章）</w:t>
      </w:r>
    </w:p>
    <w:p w14:paraId="368C72E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 年 月 日</w:t>
      </w:r>
    </w:p>
    <w:p w14:paraId="4A974C28">
      <w:pPr>
        <w:rPr>
          <w:color w:val="auto"/>
          <w:highlight w:val="none"/>
        </w:rPr>
      </w:pPr>
    </w:p>
    <w:p w14:paraId="51386957">
      <w:pPr>
        <w:rPr>
          <w:color w:val="auto"/>
          <w:highlight w:val="none"/>
        </w:rPr>
        <w:sectPr>
          <w:pgSz w:w="11906" w:h="16838"/>
          <w:pgMar w:top="1418" w:right="1418" w:bottom="1418" w:left="1418" w:header="851" w:footer="992" w:gutter="0"/>
          <w:cols w:space="425" w:num="1"/>
          <w:docGrid w:type="lines" w:linePitch="312" w:charSpace="0"/>
        </w:sectPr>
      </w:pPr>
    </w:p>
    <w:p w14:paraId="2C3E77C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二、投标人的资格及资信证明文件</w:t>
      </w:r>
    </w:p>
    <w:p w14:paraId="13940832">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二-1单位授权书（若有）</w:t>
      </w:r>
    </w:p>
    <w:p w14:paraId="37A944C9">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5C42977">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我方的单位负责人</w:t>
      </w:r>
      <w:r>
        <w:rPr>
          <w:rFonts w:asciiTheme="minorEastAsia" w:hAnsiTheme="minorEastAsia"/>
          <w:color w:val="auto"/>
          <w:sz w:val="24"/>
          <w:szCs w:val="24"/>
          <w:highlight w:val="none"/>
          <w:u w:val="single"/>
        </w:rPr>
        <w:t>（填写“单位负责人全名”）</w:t>
      </w:r>
      <w:r>
        <w:rPr>
          <w:rFonts w:asciiTheme="minorEastAsia" w:hAnsiTheme="minorEastAsia"/>
          <w:color w:val="auto"/>
          <w:sz w:val="24"/>
          <w:szCs w:val="24"/>
          <w:highlight w:val="none"/>
        </w:rPr>
        <w:t>授权</w:t>
      </w:r>
      <w:r>
        <w:rPr>
          <w:rFonts w:asciiTheme="minorEastAsia" w:hAnsiTheme="minorEastAsia"/>
          <w:color w:val="auto"/>
          <w:sz w:val="24"/>
          <w:szCs w:val="24"/>
          <w:highlight w:val="none"/>
          <w:u w:val="single"/>
        </w:rPr>
        <w:t>（填写“投标人代表全名”）</w:t>
      </w:r>
      <w:r>
        <w:rPr>
          <w:rFonts w:asciiTheme="minorEastAsia" w:hAnsiTheme="minorEastAsia"/>
          <w:color w:val="auto"/>
          <w:sz w:val="24"/>
          <w:szCs w:val="24"/>
          <w:highlight w:val="none"/>
        </w:rPr>
        <w:t>为投标人代表，代表我方参加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0BD1043">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投标人代表无转委权。特此授权。</w:t>
      </w:r>
    </w:p>
    <w:p w14:paraId="3F5461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606199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5639DE1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7163F1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授权方</w:t>
      </w:r>
    </w:p>
    <w:p w14:paraId="28EF63B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1952AD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 年 月 日</w:t>
      </w:r>
    </w:p>
    <w:p w14:paraId="7091F4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附：单位负责人、投标人代表的身份证正反面复印件</w:t>
      </w:r>
    </w:p>
    <w:p w14:paraId="0DB067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要求：真实有效且内容完整、清晰、整洁。</w:t>
      </w:r>
    </w:p>
    <w:p w14:paraId="120AA87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DBB1F68">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1、企业（银行、保险、石油石化、电力、电信等行业除外）、事业单位和社会团体法人的“单位负责人”指法定代表人，即与实际提交的“营业执照等证明文件”载明的一致。</w:t>
      </w:r>
    </w:p>
    <w:p w14:paraId="53A9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AC52E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4423547B">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4、投标人为自然人的，可不填写本授权书。</w:t>
      </w:r>
    </w:p>
    <w:p w14:paraId="6A6B3980">
      <w:pPr>
        <w:rPr>
          <w:color w:val="auto"/>
          <w:highlight w:val="none"/>
        </w:rPr>
      </w:pPr>
    </w:p>
    <w:p w14:paraId="76A1B426">
      <w:pPr>
        <w:rPr>
          <w:color w:val="auto"/>
          <w:highlight w:val="none"/>
        </w:rPr>
        <w:sectPr>
          <w:pgSz w:w="11906" w:h="16838"/>
          <w:pgMar w:top="1418" w:right="1418" w:bottom="1418" w:left="1418" w:header="851" w:footer="992" w:gutter="0"/>
          <w:cols w:space="425" w:num="1"/>
          <w:docGrid w:type="lines" w:linePitch="312" w:charSpace="0"/>
        </w:sectPr>
      </w:pPr>
    </w:p>
    <w:p w14:paraId="34A53BD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 证明材料</w:t>
      </w:r>
    </w:p>
    <w:p w14:paraId="78028A6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838E7B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二-2-1 福建省政府采购供应商资格承诺函</w:t>
      </w:r>
    </w:p>
    <w:p w14:paraId="1215213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4D966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单位名称（自然人姓名）：</w:t>
      </w:r>
    </w:p>
    <w:p w14:paraId="7CB646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统一社会信用代码（自然人身份证号码）：</w:t>
      </w:r>
    </w:p>
    <w:p w14:paraId="1E52EF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法定代表人（负责人）：</w:t>
      </w:r>
    </w:p>
    <w:p w14:paraId="28788B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联系地址和电话：</w:t>
      </w:r>
    </w:p>
    <w:p w14:paraId="4794EB0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C93C9A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一、我单位（本人）具备采购文件要求以及《中华人民共和国政府采购法》第二十二条规定的条件：</w:t>
      </w:r>
    </w:p>
    <w:p w14:paraId="5F3BB55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1.具有独立承担民事责任的能力;</w:t>
      </w:r>
    </w:p>
    <w:p w14:paraId="55D2A8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2.具有良好的商业信誉和健全的财务会计制度;</w:t>
      </w:r>
    </w:p>
    <w:p w14:paraId="4B1C3E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3.具有履行合同所必需的设备和专业技术能力;</w:t>
      </w:r>
    </w:p>
    <w:p w14:paraId="2DE4D5F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4.有依法缴纳税收和社会保障资金的良好记录;</w:t>
      </w:r>
    </w:p>
    <w:p w14:paraId="5EFA08B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5.参加政府采购活动前三年内，在经营活动中没有重大违法记录；</w:t>
      </w:r>
    </w:p>
    <w:p w14:paraId="576FAC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6.法律、行政法规规定的其他条件。</w:t>
      </w:r>
    </w:p>
    <w:p w14:paraId="61083A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3B63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F8BABCF">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w:t>
      </w:r>
      <w:r>
        <w:rPr>
          <w:rFonts w:asciiTheme="minorEastAsia" w:hAnsiTheme="minorEastAsia"/>
          <w:color w:val="auto"/>
          <w:sz w:val="24"/>
          <w:szCs w:val="24"/>
          <w:highlight w:val="none"/>
          <w:u w:val="single"/>
        </w:rPr>
        <w:t>名称（单位公章）：</w:t>
      </w:r>
    </w:p>
    <w:p w14:paraId="77EAE33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B19E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w:t>
      </w:r>
    </w:p>
    <w:p w14:paraId="206D553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1.我单位（本人）专指参加政府采购活动的供应商（含自然人）；</w:t>
      </w:r>
    </w:p>
    <w:p w14:paraId="2C98CB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2.资格承诺的供应商应在投标（响应）文件中按此模板提供承诺函，否则，视为未按照招标文件规定提交投标人的资格及资信文件，按资格审查不通过处理。</w:t>
      </w:r>
    </w:p>
    <w:p w14:paraId="01317401">
      <w:pPr>
        <w:rPr>
          <w:color w:val="auto"/>
          <w:highlight w:val="none"/>
        </w:rPr>
      </w:pPr>
    </w:p>
    <w:p w14:paraId="6E5CD703">
      <w:pPr>
        <w:rPr>
          <w:color w:val="auto"/>
          <w:highlight w:val="none"/>
        </w:rPr>
        <w:sectPr>
          <w:pgSz w:w="11906" w:h="16838"/>
          <w:pgMar w:top="1418" w:right="1418" w:bottom="1418" w:left="1418" w:header="851" w:footer="992" w:gutter="0"/>
          <w:cols w:space="425" w:num="1"/>
          <w:docGrid w:type="lines" w:linePitch="312" w:charSpace="0"/>
        </w:sectPr>
      </w:pPr>
    </w:p>
    <w:p w14:paraId="4336605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二-2-2 资格证明材料</w:t>
      </w:r>
    </w:p>
    <w:p w14:paraId="4BA3583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营业执照等证明文件</w:t>
      </w:r>
    </w:p>
    <w:p w14:paraId="43B6130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3BE5F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）投标人为法人（包括企业、事业单位和社会团体）的</w:t>
      </w:r>
    </w:p>
    <w:p w14:paraId="01F55F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签发的我方统一社会信用代码（请填写法人的具体证照名称）复印件，该证明材料真实有效，否则我方负全部责任。</w:t>
      </w:r>
    </w:p>
    <w:p w14:paraId="7593DB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）投标人为非法人（包括其他组织、自然人）的</w:t>
      </w:r>
    </w:p>
    <w:p w14:paraId="78FCF09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签发的我方（请填写非自然人的非法人的具体证照名称）复印件，该证明材料真实有效，否则我方负全部责任。</w:t>
      </w:r>
    </w:p>
    <w:p w14:paraId="7EEF5B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签发的我方（请填写自然人的身份证件名称）复印件，该证明材料真实有效，否则我方负全部责任。</w:t>
      </w:r>
    </w:p>
    <w:p w14:paraId="7C9D24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3D91DC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02294C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087C27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EE9DA6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B92B74">
      <w:pPr>
        <w:rPr>
          <w:color w:val="auto"/>
          <w:highlight w:val="none"/>
        </w:rPr>
      </w:pPr>
    </w:p>
    <w:p w14:paraId="6A7E4AE7">
      <w:pPr>
        <w:rPr>
          <w:color w:val="auto"/>
          <w:highlight w:val="none"/>
        </w:rPr>
        <w:sectPr>
          <w:pgSz w:w="11906" w:h="16838"/>
          <w:pgMar w:top="1418" w:right="1418" w:bottom="1418" w:left="1418" w:header="851" w:footer="992" w:gutter="0"/>
          <w:cols w:space="425" w:num="1"/>
          <w:docGrid w:type="lines" w:linePitch="312" w:charSpace="0"/>
        </w:sectPr>
      </w:pPr>
    </w:p>
    <w:p w14:paraId="0453071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财务状况报告（财务报告、或资信证明）</w:t>
      </w:r>
    </w:p>
    <w:p w14:paraId="779D8BEB">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E7673C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）投标人提供财务报告的</w:t>
      </w:r>
    </w:p>
    <w:p w14:paraId="4FED8AE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□企业适用：现附上我方</w:t>
      </w:r>
      <w:r>
        <w:rPr>
          <w:rFonts w:asciiTheme="minorEastAsia" w:hAnsiTheme="minorEastAsia"/>
          <w:color w:val="auto"/>
          <w:sz w:val="24"/>
          <w:szCs w:val="24"/>
          <w:highlight w:val="none"/>
          <w:u w:val="single"/>
        </w:rPr>
        <w:t>（填写“具体的年度、或半年度、季度”）</w:t>
      </w:r>
      <w:r>
        <w:rPr>
          <w:rFonts w:asciiTheme="minorEastAsia" w:hAnsiTheme="minorEastAsia"/>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E7E03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□事业单位适用：现附上我方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F16986D">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□社会团体、民办非企适用：现附上我方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财务报告复印件，包括资产负债表、业务活动表、现金流量表、会计师事务所营业执照和注册会计师资格证书，上述证明材料真实有效，否则我方负全部责任。</w:t>
      </w:r>
    </w:p>
    <w:p w14:paraId="34D9EC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）投标人提供资信证明的</w:t>
      </w:r>
    </w:p>
    <w:p w14:paraId="13146581">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□非自然人适用（包括企业、事业单位、社会团体和其他组织）：现附上我方银行：</w:t>
      </w:r>
      <w:r>
        <w:rPr>
          <w:rFonts w:asciiTheme="minorEastAsia" w:hAnsiTheme="minorEastAsia"/>
          <w:color w:val="auto"/>
          <w:sz w:val="24"/>
          <w:szCs w:val="24"/>
          <w:highlight w:val="none"/>
          <w:u w:val="single"/>
        </w:rPr>
        <w:t>（填写“开户银行全称”）</w:t>
      </w:r>
      <w:r>
        <w:rPr>
          <w:rFonts w:asciiTheme="minorEastAsia" w:hAnsiTheme="minorEastAsia"/>
          <w:color w:val="auto"/>
          <w:sz w:val="24"/>
          <w:szCs w:val="24"/>
          <w:highlight w:val="none"/>
        </w:rPr>
        <w:t>出具的资信证明复印件，上述证明材料真实有效，否则我方负全部责任。</w:t>
      </w:r>
    </w:p>
    <w:p w14:paraId="094941B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□自然人适用：现附上我方银行</w:t>
      </w:r>
      <w:r>
        <w:rPr>
          <w:rFonts w:asciiTheme="minorEastAsia" w:hAnsiTheme="minorEastAsia"/>
          <w:color w:val="auto"/>
          <w:sz w:val="24"/>
          <w:szCs w:val="24"/>
          <w:highlight w:val="none"/>
          <w:u w:val="single"/>
        </w:rPr>
        <w:t>：（填写自然人的“个人账户的开户银行全称”）</w:t>
      </w:r>
      <w:r>
        <w:rPr>
          <w:rFonts w:asciiTheme="minorEastAsia" w:hAnsiTheme="minorEastAsia"/>
          <w:color w:val="auto"/>
          <w:sz w:val="24"/>
          <w:szCs w:val="24"/>
          <w:highlight w:val="none"/>
        </w:rPr>
        <w:t>出具的资信证明复印件，上述证明材料真实有效，否则我方负全部责任。</w:t>
      </w:r>
    </w:p>
    <w:p w14:paraId="516A9F8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590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305A8C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2、投标人提供的财务报告复印件（成立年限按照投标截止时间推算）应符合下列规定：</w:t>
      </w:r>
    </w:p>
    <w:p w14:paraId="38DEE93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2.1成立年限满1年及以上的投标人，提供经审计的招标文件规定的年度财务报告。</w:t>
      </w:r>
    </w:p>
    <w:p w14:paraId="70B3C87C">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2.2成立年限满半年但不足1年的投标人，提供该半年度中任一季度的季度财务报告或该半年度的半年度财务报告。</w:t>
      </w:r>
    </w:p>
    <w:p w14:paraId="5D881F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9B9C9A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F18707D">
      <w:pPr>
        <w:pStyle w:val="54"/>
        <w:spacing w:line="276"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8AEBA3F">
      <w:pPr>
        <w:rPr>
          <w:color w:val="auto"/>
          <w:highlight w:val="none"/>
        </w:rPr>
      </w:pPr>
    </w:p>
    <w:p w14:paraId="4BE6B1DD">
      <w:pPr>
        <w:rPr>
          <w:color w:val="auto"/>
          <w:highlight w:val="none"/>
        </w:rPr>
        <w:sectPr>
          <w:pgSz w:w="11906" w:h="16838"/>
          <w:pgMar w:top="1418" w:right="1418" w:bottom="1418" w:left="1418" w:header="851" w:footer="992" w:gutter="0"/>
          <w:cols w:space="425" w:num="1"/>
          <w:docGrid w:type="lines" w:linePitch="312" w:charSpace="0"/>
        </w:sectPr>
      </w:pPr>
    </w:p>
    <w:p w14:paraId="1B2EDB7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依法缴纳税收证明材料</w:t>
      </w:r>
    </w:p>
    <w:p w14:paraId="0127163D">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5C8CC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1、依法缴纳税收的投标人</w:t>
      </w:r>
    </w:p>
    <w:p w14:paraId="4F1F31D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18B9A4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69F767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2E206D6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F4444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2、依法免税的投标人</w:t>
      </w:r>
    </w:p>
    <w:p w14:paraId="217446A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）现附上我方依法免税的证明材料复印件，上述证明材料真实有效，否则我方负全部责任。</w:t>
      </w:r>
    </w:p>
    <w:p w14:paraId="6B76EF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9971E1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20875C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2、投标人提供的税收缴纳凭据复印件应符合下列规定：</w:t>
      </w:r>
    </w:p>
    <w:p w14:paraId="05F37B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2D7D5D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5751A58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3、若为依法免税范围的投标人，提供依法免税证明材料的，视同满足本项资格条件要求。</w:t>
      </w:r>
    </w:p>
    <w:p w14:paraId="6DB7D581">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273C022">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619A76A">
      <w:pPr>
        <w:rPr>
          <w:color w:val="auto"/>
          <w:highlight w:val="none"/>
        </w:rPr>
      </w:pPr>
    </w:p>
    <w:p w14:paraId="6B5364DA">
      <w:pPr>
        <w:rPr>
          <w:color w:val="auto"/>
          <w:highlight w:val="none"/>
        </w:rPr>
        <w:sectPr>
          <w:pgSz w:w="11906" w:h="16838"/>
          <w:pgMar w:top="1418" w:right="1418" w:bottom="1418" w:left="1418" w:header="851" w:footer="992" w:gutter="0"/>
          <w:cols w:space="425" w:num="1"/>
          <w:docGrid w:type="lines" w:linePitch="312" w:charSpace="0"/>
        </w:sectPr>
      </w:pPr>
    </w:p>
    <w:p w14:paraId="5EAB60F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依法缴纳社会保障资金证明材料</w:t>
      </w:r>
    </w:p>
    <w:p w14:paraId="1900312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48D6F1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1、依法缴纳社会保障资金的投标人</w:t>
      </w:r>
    </w:p>
    <w:p w14:paraId="3EA00B1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684BF24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0E606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6E9EB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CF1DE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2、依法不需要缴纳或暂缓缴纳社会保障资金的投标人</w:t>
      </w:r>
    </w:p>
    <w:p w14:paraId="127E3EF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）现附上我方依法不需要缴纳或暂缓缴纳社会保障资金证明材料复印件，上述证明材料真实有效，否则我方负全部责任。</w:t>
      </w:r>
    </w:p>
    <w:p w14:paraId="6012AD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7B2C4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0D2757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2、投标人提供的社会保障资金缴纳凭据复印件应符合下列规定：</w:t>
      </w:r>
    </w:p>
    <w:p w14:paraId="2CE286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4E4F5A5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13383D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3、若为依法不需要缴纳或暂缓缴纳社会保障资金的投标人，提供依法不需要缴纳或暂缓缴纳社会保障资金证明材料的，视同满足本项资格条件要求。</w:t>
      </w:r>
    </w:p>
    <w:p w14:paraId="0BE8645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1C3858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BD52D11">
      <w:pPr>
        <w:rPr>
          <w:color w:val="auto"/>
          <w:highlight w:val="none"/>
        </w:rPr>
      </w:pPr>
    </w:p>
    <w:p w14:paraId="721B07C3">
      <w:pPr>
        <w:rPr>
          <w:color w:val="auto"/>
          <w:highlight w:val="none"/>
        </w:rPr>
        <w:sectPr>
          <w:pgSz w:w="11906" w:h="16838"/>
          <w:pgMar w:top="1418" w:right="1418" w:bottom="1418" w:left="1418" w:header="851" w:footer="992" w:gutter="0"/>
          <w:cols w:space="425" w:num="1"/>
          <w:docGrid w:type="lines" w:linePitch="312" w:charSpace="0"/>
        </w:sectPr>
      </w:pPr>
    </w:p>
    <w:p w14:paraId="733CBEF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具备履行合同所必需设备和专业技术能力的声明函（若有）</w:t>
      </w:r>
    </w:p>
    <w:p w14:paraId="4DBD2926">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A41BCB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我方具备履行合同所必需的设备和专业技术能力，否则产生不利后果由我方承担责任。</w:t>
      </w:r>
    </w:p>
    <w:p w14:paraId="4F744E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250334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30AA2A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1、招标文件未要求投标人提供“具备履行合同所必需的设备和专业技术能力专项证明材料”的，投标人应提供本声明函。</w:t>
      </w:r>
    </w:p>
    <w:p w14:paraId="36EFC3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2、招标文件要求投标人提供“具备履行合同所必需的设备和专业技术能力专项证明材料”的，投标人可不提供本声明函。</w:t>
      </w:r>
    </w:p>
    <w:p w14:paraId="03887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3、请投标人根据实际情况如实声明，否则视为提供虚假材料。</w:t>
      </w:r>
    </w:p>
    <w:p w14:paraId="4E704A2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BBE30C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A33DBF">
      <w:pPr>
        <w:rPr>
          <w:color w:val="auto"/>
          <w:highlight w:val="none"/>
        </w:rPr>
      </w:pPr>
    </w:p>
    <w:p w14:paraId="5694BAC6">
      <w:pPr>
        <w:rPr>
          <w:color w:val="auto"/>
          <w:highlight w:val="none"/>
        </w:rPr>
        <w:sectPr>
          <w:pgSz w:w="11906" w:h="16838"/>
          <w:pgMar w:top="1418" w:right="1418" w:bottom="1418" w:left="1418" w:header="851" w:footer="992" w:gutter="0"/>
          <w:cols w:space="425" w:num="1"/>
          <w:docGrid w:type="lines" w:linePitch="312" w:charSpace="0"/>
        </w:sectPr>
      </w:pPr>
    </w:p>
    <w:p w14:paraId="000F998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参加采购活动前三年内在经营活动中没有重大违法记录书面声明</w:t>
      </w:r>
    </w:p>
    <w:p w14:paraId="01EB7AFF">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77BA89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623D1F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64B8AF7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961E6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280D0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请投标人根据实际情况如实声明，否则视为提供虚假材料。</w:t>
      </w:r>
    </w:p>
    <w:p w14:paraId="30E8EF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8C16F90">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C7A7B45">
      <w:pPr>
        <w:rPr>
          <w:color w:val="auto"/>
          <w:highlight w:val="none"/>
        </w:rPr>
      </w:pPr>
    </w:p>
    <w:p w14:paraId="019F1289">
      <w:pPr>
        <w:rPr>
          <w:color w:val="auto"/>
          <w:highlight w:val="none"/>
        </w:rPr>
        <w:sectPr>
          <w:pgSz w:w="11906" w:h="16838"/>
          <w:pgMar w:top="1418" w:right="1418" w:bottom="1418" w:left="1418" w:header="851" w:footer="992" w:gutter="0"/>
          <w:cols w:space="425" w:num="1"/>
          <w:docGrid w:type="lines" w:linePitch="312" w:charSpace="0"/>
        </w:sectPr>
      </w:pPr>
    </w:p>
    <w:p w14:paraId="22068DE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二-3信用记录查询提示</w:t>
      </w:r>
    </w:p>
    <w:p w14:paraId="0F35F6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1、由资格审查小组通过网站查询并打印投标人的信用记录。</w:t>
      </w:r>
    </w:p>
    <w:p w14:paraId="383A59B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72A3A8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BBA638">
      <w:pPr>
        <w:rPr>
          <w:color w:val="auto"/>
          <w:highlight w:val="none"/>
        </w:rPr>
      </w:pPr>
    </w:p>
    <w:p w14:paraId="3EA0FD48">
      <w:pPr>
        <w:rPr>
          <w:color w:val="auto"/>
          <w:highlight w:val="none"/>
        </w:rPr>
        <w:sectPr>
          <w:pgSz w:w="11906" w:h="16838"/>
          <w:pgMar w:top="1418" w:right="1418" w:bottom="1418" w:left="1418" w:header="851" w:footer="992" w:gutter="0"/>
          <w:cols w:space="425" w:num="1"/>
          <w:docGrid w:type="lines" w:linePitch="312" w:charSpace="0"/>
        </w:sectPr>
      </w:pPr>
    </w:p>
    <w:p w14:paraId="1A2EE15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二-4中小企业声明函</w:t>
      </w:r>
    </w:p>
    <w:p w14:paraId="46EAE64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4E8F75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4E52AA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1D8FDB2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3A783F6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0E8887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B03E6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38F2E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07CA35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13321E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F443D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53EBF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62970C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B44A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6635B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AA9DD3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2F46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7BB062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58ED62B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5A3B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20946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70825C9B">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6D104B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77DB0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E7749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54E8CC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DC8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80E0C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w:t>
      </w:r>
    </w:p>
    <w:p w14:paraId="05064B1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57EB3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3D2E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7F48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62783A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3CF04C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61713B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0DD5AB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28296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4C2FDD69">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EF38F23">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EB50E8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05CBA4F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18A2563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5374DB41">
      <w:pPr>
        <w:rPr>
          <w:color w:val="auto"/>
          <w:highlight w:val="none"/>
        </w:rPr>
        <w:sectPr>
          <w:pgSz w:w="11906" w:h="16838"/>
          <w:pgMar w:top="1418" w:right="1418" w:bottom="1418" w:left="1418" w:header="851" w:footer="992" w:gutter="0"/>
          <w:cols w:space="425" w:num="1"/>
          <w:docGrid w:type="lines" w:linePitch="312" w:charSpace="0"/>
        </w:sectPr>
      </w:pPr>
    </w:p>
    <w:p w14:paraId="6BF898E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二-5联合体协议（若有）</w:t>
      </w:r>
    </w:p>
    <w:p w14:paraId="16F2807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CDE1AF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w:t>
      </w:r>
      <w:r>
        <w:rPr>
          <w:rFonts w:asciiTheme="minorEastAsia" w:hAnsiTheme="minorEastAsia"/>
          <w:color w:val="auto"/>
          <w:sz w:val="24"/>
          <w:szCs w:val="24"/>
          <w:highlight w:val="none"/>
          <w:u w:val="single"/>
        </w:rPr>
        <w:t>（填写“联合体中各方的全称”，各方的全称之间请用“、”分割）</w:t>
      </w:r>
      <w:r>
        <w:rPr>
          <w:rFonts w:asciiTheme="minorEastAsia" w:hAnsiTheme="minorEastAsia"/>
          <w:color w:val="auto"/>
          <w:sz w:val="24"/>
          <w:szCs w:val="24"/>
          <w:highlight w:val="none"/>
        </w:rPr>
        <w:t>自愿组成联合体，共同参加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）的投标。现就联合体参加本项目投标的有关事宜达成下列协议：</w:t>
      </w:r>
    </w:p>
    <w:p w14:paraId="28D6829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一、联合体各方应承担的工作和义务具体如下：</w:t>
      </w:r>
    </w:p>
    <w:p w14:paraId="2E89B3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1、牵头方（全称）：</w:t>
      </w:r>
      <w:r>
        <w:rPr>
          <w:rFonts w:asciiTheme="minorEastAsia" w:hAnsiTheme="minorEastAsia"/>
          <w:color w:val="auto"/>
          <w:sz w:val="24"/>
          <w:szCs w:val="24"/>
          <w:highlight w:val="none"/>
          <w:u w:val="single"/>
        </w:rPr>
        <w:t xml:space="preserve">（填写“工作及义务的具体内容”） </w:t>
      </w:r>
      <w:r>
        <w:rPr>
          <w:rFonts w:asciiTheme="minorEastAsia" w:hAnsiTheme="minorEastAsia"/>
          <w:color w:val="auto"/>
          <w:sz w:val="24"/>
          <w:szCs w:val="24"/>
          <w:highlight w:val="none"/>
        </w:rPr>
        <w:t>；</w:t>
      </w:r>
    </w:p>
    <w:p w14:paraId="68F9EEB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553083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2.1（成员一的全称）：</w:t>
      </w:r>
      <w:r>
        <w:rPr>
          <w:rFonts w:asciiTheme="minorEastAsia" w:hAnsiTheme="minorEastAsia"/>
          <w:color w:val="auto"/>
          <w:sz w:val="24"/>
          <w:szCs w:val="24"/>
          <w:highlight w:val="none"/>
          <w:u w:val="single"/>
        </w:rPr>
        <w:t>（填写“工作及义务的具体内容”）</w:t>
      </w:r>
      <w:r>
        <w:rPr>
          <w:rFonts w:asciiTheme="minorEastAsia" w:hAnsiTheme="minorEastAsia"/>
          <w:color w:val="auto"/>
          <w:sz w:val="24"/>
          <w:szCs w:val="24"/>
          <w:highlight w:val="none"/>
        </w:rPr>
        <w:t xml:space="preserve"> ；</w:t>
      </w:r>
    </w:p>
    <w:p w14:paraId="059AA94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19253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二、联合体各方的合同金额占比，具体如下：</w:t>
      </w:r>
    </w:p>
    <w:p w14:paraId="54B39A7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w:t>
      </w:r>
      <w:r>
        <w:rPr>
          <w:rFonts w:asciiTheme="minorEastAsia" w:hAnsiTheme="minorEastAsia"/>
          <w:color w:val="auto"/>
          <w:sz w:val="24"/>
          <w:szCs w:val="24"/>
          <w:highlight w:val="none"/>
          <w:u w:val="single"/>
        </w:rPr>
        <w:t xml:space="preserve"> 全称</w:t>
      </w:r>
      <w:r>
        <w:rPr>
          <w:rFonts w:asciiTheme="minorEastAsia" w:hAnsiTheme="minorEastAsia"/>
          <w:color w:val="auto"/>
          <w:sz w:val="24"/>
          <w:szCs w:val="24"/>
          <w:highlight w:val="none"/>
        </w:rPr>
        <w:t xml:space="preserve"> ）的合同金额占合同总额的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200F21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44FF0C7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w:t>
      </w:r>
      <w:r>
        <w:rPr>
          <w:rFonts w:asciiTheme="minorEastAsia" w:hAnsiTheme="minorEastAsia"/>
          <w:color w:val="auto"/>
          <w:sz w:val="24"/>
          <w:szCs w:val="24"/>
          <w:highlight w:val="none"/>
          <w:u w:val="single"/>
        </w:rPr>
        <w:t xml:space="preserve"> 成员1的全称 </w:t>
      </w:r>
      <w:r>
        <w:rPr>
          <w:rFonts w:asciiTheme="minorEastAsia" w:hAnsiTheme="minorEastAsia"/>
          <w:color w:val="auto"/>
          <w:sz w:val="24"/>
          <w:szCs w:val="24"/>
          <w:highlight w:val="none"/>
        </w:rPr>
        <w:t>）的合同金额占合同总额的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516FE8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0A9EDA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三、联合体各方约定：</w:t>
      </w:r>
    </w:p>
    <w:p w14:paraId="39ACB1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w:t>
      </w:r>
      <w:r>
        <w:rPr>
          <w:rFonts w:asciiTheme="minorEastAsia" w:hAnsiTheme="minorEastAsia"/>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8D42A0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2、联合体各方约定由</w:t>
      </w:r>
      <w:r>
        <w:rPr>
          <w:rFonts w:asciiTheme="minorEastAsia" w:hAnsiTheme="minorEastAsia"/>
          <w:color w:val="auto"/>
          <w:sz w:val="24"/>
          <w:szCs w:val="24"/>
          <w:highlight w:val="none"/>
          <w:u w:val="single"/>
        </w:rPr>
        <w:t>（填写“牵头方的全称”）代表联合体办理投标保证金事宜。</w:t>
      </w:r>
    </w:p>
    <w:p w14:paraId="262B90E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E9EFC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BB4FC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五、本协议自签署之日起生效，政府采购合同履行完毕后自动失效。</w:t>
      </w:r>
    </w:p>
    <w:p w14:paraId="274049C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六、本协议一式</w:t>
      </w:r>
      <w:r>
        <w:rPr>
          <w:rFonts w:asciiTheme="minorEastAsia" w:hAnsiTheme="minorEastAsia"/>
          <w:color w:val="auto"/>
          <w:sz w:val="24"/>
          <w:szCs w:val="24"/>
          <w:highlight w:val="none"/>
          <w:u w:val="single"/>
        </w:rPr>
        <w:t>（填写具体份数）</w:t>
      </w:r>
      <w:r>
        <w:rPr>
          <w:rFonts w:asciiTheme="minorEastAsia" w:hAnsiTheme="minorEastAsia"/>
          <w:color w:val="auto"/>
          <w:sz w:val="24"/>
          <w:szCs w:val="24"/>
          <w:highlight w:val="none"/>
        </w:rPr>
        <w:t>份，联合体各方各执一份，电子投标文件中提交一份。</w:t>
      </w:r>
    </w:p>
    <w:p w14:paraId="0E2BACA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26028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牵头方：</w:t>
      </w:r>
      <w:r>
        <w:rPr>
          <w:rFonts w:asciiTheme="minorEastAsia" w:hAnsiTheme="minorEastAsia"/>
          <w:color w:val="auto"/>
          <w:sz w:val="24"/>
          <w:szCs w:val="24"/>
          <w:highlight w:val="none"/>
          <w:u w:val="single"/>
        </w:rPr>
        <w:t>（全称并加盖单位公章）</w:t>
      </w:r>
    </w:p>
    <w:p w14:paraId="5132F8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6A3EB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成员一：</w:t>
      </w:r>
      <w:r>
        <w:rPr>
          <w:rFonts w:asciiTheme="minorEastAsia" w:hAnsiTheme="minorEastAsia"/>
          <w:color w:val="auto"/>
          <w:sz w:val="24"/>
          <w:szCs w:val="24"/>
          <w:highlight w:val="none"/>
          <w:u w:val="single"/>
        </w:rPr>
        <w:t>（全称并加盖成员一的单位公章）</w:t>
      </w:r>
    </w:p>
    <w:p w14:paraId="7D9749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4B125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D74664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w:t>
      </w:r>
      <w:r>
        <w:rPr>
          <w:rFonts w:asciiTheme="minorEastAsia" w:hAnsiTheme="minorEastAsia"/>
          <w:color w:val="auto"/>
          <w:sz w:val="24"/>
          <w:szCs w:val="24"/>
          <w:highlight w:val="none"/>
          <w:u w:val="single"/>
        </w:rPr>
        <w:t>（全称并加盖成员**的单位公章）</w:t>
      </w:r>
    </w:p>
    <w:p w14:paraId="78EDCD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F45219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w:t>
      </w:r>
      <w:r>
        <w:rPr>
          <w:rFonts w:asciiTheme="minorEastAsia" w:hAnsiTheme="minorEastAsia"/>
          <w:color w:val="auto"/>
          <w:sz w:val="24"/>
          <w:szCs w:val="24"/>
          <w:highlight w:val="none"/>
          <w:u w:val="single"/>
        </w:rPr>
        <w:t>　　年　　月　　日</w:t>
      </w:r>
    </w:p>
    <w:p w14:paraId="4899B6D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36EE4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1、招标文件接受联合体投标且投标人为联合体的，投标人应提供本协议；否则无须提供。</w:t>
      </w:r>
    </w:p>
    <w:p w14:paraId="6F3B47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5E14AC1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3、在以联合体形式落实中小企业预留份额项目中，投标人除了要提供《中小企业声明函》，还需提供本协议。</w:t>
      </w:r>
    </w:p>
    <w:p w14:paraId="46AC75D7">
      <w:pPr>
        <w:rPr>
          <w:color w:val="auto"/>
          <w:highlight w:val="none"/>
        </w:rPr>
      </w:pPr>
    </w:p>
    <w:p w14:paraId="3E046D53">
      <w:pPr>
        <w:rPr>
          <w:color w:val="auto"/>
          <w:highlight w:val="none"/>
        </w:rPr>
        <w:sectPr>
          <w:pgSz w:w="11906" w:h="16838"/>
          <w:pgMar w:top="1418" w:right="1418" w:bottom="1418" w:left="1418" w:header="851" w:footer="992" w:gutter="0"/>
          <w:cols w:space="425" w:num="1"/>
          <w:docGrid w:type="lines" w:linePitch="312" w:charSpace="0"/>
        </w:sectPr>
      </w:pPr>
    </w:p>
    <w:p w14:paraId="3CE7D50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二-6分包意向协议（若有）</w:t>
      </w:r>
    </w:p>
    <w:p w14:paraId="218CFA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甲方（总包方）：</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（即本项目的投标人）</w:t>
      </w:r>
    </w:p>
    <w:p w14:paraId="1821E6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乙方（分包方）：</w:t>
      </w:r>
      <w:r>
        <w:rPr>
          <w:rFonts w:asciiTheme="minorEastAsia" w:hAnsiTheme="minorEastAsia"/>
          <w:color w:val="auto"/>
          <w:sz w:val="24"/>
          <w:szCs w:val="24"/>
          <w:highlight w:val="none"/>
          <w:u w:val="single"/>
        </w:rPr>
        <w:t>　　　　　　　</w:t>
      </w:r>
    </w:p>
    <w:p w14:paraId="437AC95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兹有甲方参加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2E33A03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一、分包标的</w:t>
      </w:r>
    </w:p>
    <w:p w14:paraId="6D90BE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u w:val="single"/>
        </w:rPr>
        <w:t>（根据双方的意向填写，可以是表格或文字描述）。</w:t>
      </w:r>
    </w:p>
    <w:p w14:paraId="2E5044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二、分包合同金额占比</w:t>
      </w:r>
    </w:p>
    <w:p w14:paraId="0A3BCDE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分包合同价占投标总价的比例：</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17168B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三、其他条款</w:t>
      </w:r>
    </w:p>
    <w:p w14:paraId="1C9DCEE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FB96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C22A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w:t>
            </w:r>
          </w:p>
        </w:tc>
        <w:tc>
          <w:tcPr>
            <w:tcW w:w="4153" w:type="dxa"/>
          </w:tcPr>
          <w:p w14:paraId="41C5AA5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w:t>
            </w:r>
          </w:p>
        </w:tc>
      </w:tr>
      <w:tr w14:paraId="36A50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C43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c>
          <w:tcPr>
            <w:tcW w:w="4153" w:type="dxa"/>
          </w:tcPr>
          <w:p w14:paraId="5BB62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r>
      <w:tr w14:paraId="1F275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AC42F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c>
          <w:tcPr>
            <w:tcW w:w="4153" w:type="dxa"/>
          </w:tcPr>
          <w:p w14:paraId="41B3E5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r>
      <w:tr w14:paraId="70361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46E2F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c>
          <w:tcPr>
            <w:tcW w:w="4153" w:type="dxa"/>
          </w:tcPr>
          <w:p w14:paraId="000F942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r>
      <w:tr w14:paraId="60EAA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020F9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c>
          <w:tcPr>
            <w:tcW w:w="4153" w:type="dxa"/>
          </w:tcPr>
          <w:p w14:paraId="04E77C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r>
      <w:tr w14:paraId="7DC1B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3AE7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c>
          <w:tcPr>
            <w:tcW w:w="4153" w:type="dxa"/>
          </w:tcPr>
          <w:p w14:paraId="61B681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r>
      <w:tr w14:paraId="5DEAB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291C0F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签订地点：</w:t>
            </w:r>
            <w:r>
              <w:rPr>
                <w:rFonts w:asciiTheme="minorEastAsia" w:hAnsiTheme="minorEastAsia"/>
                <w:color w:val="auto"/>
                <w:sz w:val="24"/>
                <w:szCs w:val="24"/>
                <w:highlight w:val="none"/>
                <w:u w:val="single"/>
              </w:rPr>
              <w:t>　　　　　　　　　　</w:t>
            </w:r>
          </w:p>
          <w:p w14:paraId="45071B8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签约日期：</w:t>
            </w:r>
            <w:r>
              <w:rPr>
                <w:rFonts w:asciiTheme="minorEastAsia" w:hAnsiTheme="minorEastAsia"/>
                <w:color w:val="auto"/>
                <w:sz w:val="24"/>
                <w:szCs w:val="24"/>
                <w:highlight w:val="none"/>
                <w:u w:val="single"/>
              </w:rPr>
              <w:t>　　年　　月　　日</w:t>
            </w:r>
          </w:p>
        </w:tc>
      </w:tr>
    </w:tbl>
    <w:p w14:paraId="3AADC9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10FA0D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1.招标文件接受合同分包且投标人拟将合同分包的，应提供本协议；否则无须提供。</w:t>
      </w:r>
    </w:p>
    <w:p w14:paraId="2F90A28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658174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3.在以合同分包形式落实中小企业预留份额项目中，投标人除了要提供《中小企业声明函》，还需提供本协议。</w:t>
      </w:r>
    </w:p>
    <w:p w14:paraId="02E7A116">
      <w:pPr>
        <w:rPr>
          <w:color w:val="auto"/>
          <w:highlight w:val="none"/>
        </w:rPr>
      </w:pPr>
    </w:p>
    <w:p w14:paraId="754B8134">
      <w:pPr>
        <w:rPr>
          <w:color w:val="auto"/>
          <w:highlight w:val="none"/>
        </w:rPr>
        <w:sectPr>
          <w:pgSz w:w="11906" w:h="16838"/>
          <w:pgMar w:top="1418" w:right="1418" w:bottom="1418" w:left="1418" w:header="851" w:footer="992" w:gutter="0"/>
          <w:cols w:space="425" w:num="1"/>
          <w:docGrid w:type="lines" w:linePitch="312" w:charSpace="0"/>
        </w:sectPr>
      </w:pPr>
    </w:p>
    <w:p w14:paraId="536DBD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二-7其他资格证明文件（若有）</w:t>
      </w:r>
    </w:p>
    <w:p w14:paraId="2D7EC8C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二-7-①招标文件规定的其他资格证明文件（若有）</w:t>
      </w:r>
    </w:p>
    <w:p w14:paraId="2D85C0D3">
      <w:pPr>
        <w:pStyle w:val="54"/>
        <w:spacing w:line="360" w:lineRule="auto"/>
        <w:ind w:firstLine="480" w:firstLineChars="200"/>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70723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除招标文件另有规定外，招标文件要求提交的除前述资格证明文件外的其他资格证明文件（若有）加盖投标人的单位公章后应在此项下提交。</w:t>
      </w:r>
    </w:p>
    <w:p w14:paraId="520C2081">
      <w:pPr>
        <w:spacing w:beforeLines="50" w:afterLines="50"/>
        <w:jc w:val="center"/>
        <w:rPr>
          <w:rFonts w:asciiTheme="minorEastAsia" w:hAnsiTheme="minorEastAsia"/>
          <w:b/>
          <w:color w:val="auto"/>
          <w:sz w:val="28"/>
          <w:szCs w:val="28"/>
          <w:highlight w:val="none"/>
        </w:rPr>
      </w:pPr>
    </w:p>
    <w:p w14:paraId="2BDBAF2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三、投标保证金</w:t>
      </w:r>
    </w:p>
    <w:p w14:paraId="7841D8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68E530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1、在此项下提交的“投标保证金”材料可使用转账凭证复印件或从福建省政府采购网上公开信息系统中下载的有关原始页面的打印件。</w:t>
      </w:r>
    </w:p>
    <w:p w14:paraId="271C7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2、投标保证金是否已提交的认定按照招标文件第三章规定执行。</w:t>
      </w:r>
    </w:p>
    <w:p w14:paraId="14A4EDB5">
      <w:pPr>
        <w:rPr>
          <w:color w:val="auto"/>
          <w:highlight w:val="none"/>
        </w:rPr>
      </w:pPr>
    </w:p>
    <w:p w14:paraId="26C67077">
      <w:pPr>
        <w:rPr>
          <w:color w:val="auto"/>
          <w:highlight w:val="none"/>
        </w:rPr>
        <w:sectPr>
          <w:pgSz w:w="11906" w:h="16838"/>
          <w:pgMar w:top="1418" w:right="1418" w:bottom="1418" w:left="1418" w:header="851" w:footer="992" w:gutter="0"/>
          <w:cols w:space="425" w:num="1"/>
          <w:docGrid w:type="lines" w:linePitch="312" w:charSpace="0"/>
        </w:sectPr>
      </w:pPr>
    </w:p>
    <w:p w14:paraId="6FFF47CC">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报价</w:t>
      </w:r>
      <w:r>
        <w:rPr>
          <w:b/>
          <w:color w:val="auto"/>
          <w:sz w:val="28"/>
          <w:szCs w:val="28"/>
          <w:highlight w:val="none"/>
        </w:rPr>
        <w:t>部分）</w:t>
      </w:r>
    </w:p>
    <w:p w14:paraId="6F1F968F">
      <w:pPr>
        <w:jc w:val="center"/>
        <w:rPr>
          <w:rFonts w:ascii="宋体" w:hAnsi="宋体" w:eastAsia="宋体"/>
          <w:b/>
          <w:color w:val="auto"/>
          <w:sz w:val="32"/>
          <w:szCs w:val="32"/>
          <w:highlight w:val="none"/>
        </w:rPr>
      </w:pPr>
    </w:p>
    <w:p w14:paraId="607243BA">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7A2B5E0C">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报价</w:t>
      </w:r>
      <w:r>
        <w:rPr>
          <w:rFonts w:ascii="宋体" w:hAnsi="宋体" w:eastAsia="宋体"/>
          <w:b/>
          <w:color w:val="auto"/>
          <w:sz w:val="32"/>
          <w:szCs w:val="32"/>
          <w:highlight w:val="none"/>
        </w:rPr>
        <w:t>部分）</w:t>
      </w:r>
    </w:p>
    <w:p w14:paraId="51AFA2A6">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19575C4A">
      <w:pPr>
        <w:jc w:val="center"/>
        <w:rPr>
          <w:rFonts w:ascii="宋体" w:hAnsi="宋体" w:eastAsia="宋体"/>
          <w:b/>
          <w:color w:val="auto"/>
          <w:sz w:val="32"/>
          <w:szCs w:val="32"/>
          <w:highlight w:val="none"/>
        </w:rPr>
      </w:pPr>
    </w:p>
    <w:p w14:paraId="1310EA3C">
      <w:pPr>
        <w:jc w:val="center"/>
        <w:rPr>
          <w:rFonts w:ascii="宋体" w:hAnsi="宋体" w:eastAsia="宋体"/>
          <w:b/>
          <w:color w:val="auto"/>
          <w:sz w:val="32"/>
          <w:szCs w:val="32"/>
          <w:highlight w:val="none"/>
        </w:rPr>
      </w:pPr>
    </w:p>
    <w:p w14:paraId="0B9A63A8">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6E8F25DB">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2C027485">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2AB73CE">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1C999724">
      <w:pPr>
        <w:jc w:val="center"/>
        <w:rPr>
          <w:rFonts w:ascii="宋体" w:hAnsi="宋体" w:eastAsia="宋体"/>
          <w:b/>
          <w:color w:val="auto"/>
          <w:sz w:val="32"/>
          <w:szCs w:val="32"/>
          <w:highlight w:val="none"/>
        </w:rPr>
      </w:pPr>
    </w:p>
    <w:p w14:paraId="586B6918">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22EC8947">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151515E9">
      <w:pPr>
        <w:rPr>
          <w:color w:val="auto"/>
          <w:highlight w:val="none"/>
        </w:rPr>
      </w:pPr>
    </w:p>
    <w:p w14:paraId="786C9716">
      <w:pPr>
        <w:rPr>
          <w:color w:val="auto"/>
          <w:highlight w:val="none"/>
        </w:rPr>
        <w:sectPr>
          <w:pgSz w:w="11906" w:h="16838"/>
          <w:pgMar w:top="1418" w:right="1418" w:bottom="1418" w:left="1418" w:header="851" w:footer="992" w:gutter="0"/>
          <w:cols w:space="425" w:num="1"/>
          <w:docGrid w:type="lines" w:linePitch="312" w:charSpace="0"/>
        </w:sectPr>
      </w:pPr>
    </w:p>
    <w:p w14:paraId="7BA522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05585A8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一、开标（报价）一览表</w:t>
      </w:r>
    </w:p>
    <w:p w14:paraId="4380F6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二、投标（响应）报价明细表</w:t>
      </w:r>
    </w:p>
    <w:p w14:paraId="6ECBC7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三、招标文件规定的价格扣除证明材料（若有）</w:t>
      </w:r>
    </w:p>
    <w:p w14:paraId="0D525EF8">
      <w:pPr>
        <w:rPr>
          <w:color w:val="auto"/>
          <w:highlight w:val="none"/>
        </w:rPr>
      </w:pPr>
    </w:p>
    <w:p w14:paraId="447EEF12">
      <w:pPr>
        <w:rPr>
          <w:color w:val="auto"/>
          <w:highlight w:val="none"/>
        </w:rPr>
        <w:sectPr>
          <w:pgSz w:w="11906" w:h="16838"/>
          <w:pgMar w:top="1418" w:right="1418" w:bottom="1418" w:left="1418" w:header="851" w:footer="992" w:gutter="0"/>
          <w:cols w:space="425" w:num="1"/>
          <w:docGrid w:type="lines" w:linePitch="312" w:charSpace="0"/>
        </w:sectPr>
      </w:pPr>
    </w:p>
    <w:p w14:paraId="6353C9C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开标（报价）一览表</w:t>
      </w:r>
    </w:p>
    <w:p w14:paraId="1E22B4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47BF1A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包号：1</w:t>
      </w:r>
    </w:p>
    <w:p w14:paraId="202079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158983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p w14:paraId="3ED36C41">
      <w:pPr>
        <w:rPr>
          <w:color w:val="auto"/>
          <w:highlight w:val="none"/>
        </w:rPr>
      </w:pP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2869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18D0CBD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6" w:type="dxa"/>
            <w:vAlign w:val="center"/>
          </w:tcPr>
          <w:p w14:paraId="1151F04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1661" w:type="dxa"/>
            <w:vAlign w:val="center"/>
          </w:tcPr>
          <w:p w14:paraId="216CC7B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661" w:type="dxa"/>
            <w:vAlign w:val="center"/>
          </w:tcPr>
          <w:p w14:paraId="69A5123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响应报价</w:t>
            </w:r>
          </w:p>
        </w:tc>
        <w:tc>
          <w:tcPr>
            <w:tcW w:w="1661" w:type="dxa"/>
            <w:vAlign w:val="center"/>
          </w:tcPr>
          <w:p w14:paraId="0599477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r>
      <w:tr w14:paraId="4ED38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5C7E57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6" w:type="dxa"/>
            <w:vAlign w:val="center"/>
          </w:tcPr>
          <w:p w14:paraId="08D08E66">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234E825E">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4EBF6E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「汇总引用」  元</w:t>
            </w:r>
          </w:p>
        </w:tc>
        <w:tc>
          <w:tcPr>
            <w:tcW w:w="1661" w:type="dxa"/>
            <w:vAlign w:val="center"/>
          </w:tcPr>
          <w:p w14:paraId="4EEB2C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r>
    </w:tbl>
    <w:p w14:paraId="0DE70A5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174F25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F2ADE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48A9CBC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投标（响应）报价明细表</w:t>
      </w:r>
    </w:p>
    <w:p w14:paraId="34B9D0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35D0B2F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w:t>
      </w:r>
    </w:p>
    <w:p w14:paraId="4FE5983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66A3C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5EDE3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597D48D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639" w:type="dxa"/>
            <w:vAlign w:val="center"/>
          </w:tcPr>
          <w:p w14:paraId="3294855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货物名称</w:t>
            </w:r>
          </w:p>
        </w:tc>
        <w:tc>
          <w:tcPr>
            <w:tcW w:w="639" w:type="dxa"/>
            <w:vAlign w:val="center"/>
          </w:tcPr>
          <w:p w14:paraId="7FA3628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规格型号</w:t>
            </w:r>
          </w:p>
        </w:tc>
        <w:tc>
          <w:tcPr>
            <w:tcW w:w="639" w:type="dxa"/>
            <w:vAlign w:val="center"/>
          </w:tcPr>
          <w:p w14:paraId="096FA1C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品牌</w:t>
            </w:r>
          </w:p>
        </w:tc>
        <w:tc>
          <w:tcPr>
            <w:tcW w:w="639" w:type="dxa"/>
            <w:vAlign w:val="center"/>
          </w:tcPr>
          <w:p w14:paraId="01CE980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制造商名称</w:t>
            </w:r>
          </w:p>
        </w:tc>
        <w:tc>
          <w:tcPr>
            <w:tcW w:w="639" w:type="dxa"/>
            <w:vAlign w:val="center"/>
          </w:tcPr>
          <w:p w14:paraId="40E0C6C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产地</w:t>
            </w:r>
          </w:p>
        </w:tc>
        <w:tc>
          <w:tcPr>
            <w:tcW w:w="639" w:type="dxa"/>
            <w:vAlign w:val="center"/>
          </w:tcPr>
          <w:p w14:paraId="7F11DC0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639" w:type="dxa"/>
            <w:vAlign w:val="center"/>
          </w:tcPr>
          <w:p w14:paraId="6FDA92A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单价</w:t>
            </w:r>
          </w:p>
        </w:tc>
        <w:tc>
          <w:tcPr>
            <w:tcW w:w="639" w:type="dxa"/>
            <w:vAlign w:val="center"/>
          </w:tcPr>
          <w:p w14:paraId="24EBD58A">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639" w:type="dxa"/>
            <w:vAlign w:val="center"/>
          </w:tcPr>
          <w:p w14:paraId="130191A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639" w:type="dxa"/>
            <w:vAlign w:val="center"/>
          </w:tcPr>
          <w:p w14:paraId="3DC39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c>
          <w:tcPr>
            <w:tcW w:w="639" w:type="dxa"/>
            <w:vAlign w:val="center"/>
          </w:tcPr>
          <w:p w14:paraId="5C89DC1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是否环境标志产品</w:t>
            </w:r>
          </w:p>
        </w:tc>
        <w:tc>
          <w:tcPr>
            <w:tcW w:w="639" w:type="dxa"/>
            <w:vAlign w:val="center"/>
          </w:tcPr>
          <w:p w14:paraId="0727F55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是否节能产品</w:t>
            </w:r>
          </w:p>
        </w:tc>
      </w:tr>
      <w:tr w14:paraId="1753E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6DF6F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639" w:type="dxa"/>
            <w:vAlign w:val="center"/>
          </w:tcPr>
          <w:p w14:paraId="686859CA">
            <w:pPr>
              <w:pStyle w:val="54"/>
              <w:jc w:val="center"/>
              <w:rPr>
                <w:rFonts w:hint="default" w:asciiTheme="minorEastAsia" w:hAnsiTheme="minorEastAsia"/>
                <w:color w:val="auto"/>
                <w:sz w:val="24"/>
                <w:szCs w:val="24"/>
                <w:highlight w:val="none"/>
              </w:rPr>
            </w:pPr>
          </w:p>
        </w:tc>
        <w:tc>
          <w:tcPr>
            <w:tcW w:w="639" w:type="dxa"/>
            <w:vAlign w:val="center"/>
          </w:tcPr>
          <w:p w14:paraId="680716B9">
            <w:pPr>
              <w:pStyle w:val="54"/>
              <w:jc w:val="center"/>
              <w:rPr>
                <w:rFonts w:hint="default" w:asciiTheme="minorEastAsia" w:hAnsiTheme="minorEastAsia"/>
                <w:color w:val="auto"/>
                <w:sz w:val="24"/>
                <w:szCs w:val="24"/>
                <w:highlight w:val="none"/>
              </w:rPr>
            </w:pPr>
          </w:p>
        </w:tc>
        <w:tc>
          <w:tcPr>
            <w:tcW w:w="639" w:type="dxa"/>
            <w:vAlign w:val="center"/>
          </w:tcPr>
          <w:p w14:paraId="23779B4D">
            <w:pPr>
              <w:pStyle w:val="54"/>
              <w:jc w:val="center"/>
              <w:rPr>
                <w:rFonts w:hint="default" w:asciiTheme="minorEastAsia" w:hAnsiTheme="minorEastAsia"/>
                <w:color w:val="auto"/>
                <w:sz w:val="24"/>
                <w:szCs w:val="24"/>
                <w:highlight w:val="none"/>
              </w:rPr>
            </w:pPr>
          </w:p>
        </w:tc>
        <w:tc>
          <w:tcPr>
            <w:tcW w:w="639" w:type="dxa"/>
            <w:vAlign w:val="center"/>
          </w:tcPr>
          <w:p w14:paraId="3E3CD65F">
            <w:pPr>
              <w:pStyle w:val="54"/>
              <w:jc w:val="center"/>
              <w:rPr>
                <w:rFonts w:hint="default" w:asciiTheme="minorEastAsia" w:hAnsiTheme="minorEastAsia"/>
                <w:color w:val="auto"/>
                <w:sz w:val="24"/>
                <w:szCs w:val="24"/>
                <w:highlight w:val="none"/>
              </w:rPr>
            </w:pPr>
          </w:p>
        </w:tc>
        <w:tc>
          <w:tcPr>
            <w:tcW w:w="639" w:type="dxa"/>
            <w:vAlign w:val="center"/>
          </w:tcPr>
          <w:p w14:paraId="2FCE78B4">
            <w:pPr>
              <w:pStyle w:val="54"/>
              <w:jc w:val="center"/>
              <w:rPr>
                <w:rFonts w:hint="default" w:asciiTheme="minorEastAsia" w:hAnsiTheme="minorEastAsia"/>
                <w:color w:val="auto"/>
                <w:sz w:val="24"/>
                <w:szCs w:val="24"/>
                <w:highlight w:val="none"/>
              </w:rPr>
            </w:pPr>
          </w:p>
        </w:tc>
        <w:tc>
          <w:tcPr>
            <w:tcW w:w="639" w:type="dxa"/>
            <w:vAlign w:val="center"/>
          </w:tcPr>
          <w:p w14:paraId="0342C2F9">
            <w:pPr>
              <w:pStyle w:val="54"/>
              <w:jc w:val="center"/>
              <w:rPr>
                <w:rFonts w:hint="default" w:asciiTheme="minorEastAsia" w:hAnsiTheme="minorEastAsia"/>
                <w:color w:val="auto"/>
                <w:sz w:val="24"/>
                <w:szCs w:val="24"/>
                <w:highlight w:val="none"/>
              </w:rPr>
            </w:pPr>
          </w:p>
        </w:tc>
        <w:tc>
          <w:tcPr>
            <w:tcW w:w="639" w:type="dxa"/>
            <w:vAlign w:val="center"/>
          </w:tcPr>
          <w:p w14:paraId="58D64D4F">
            <w:pPr>
              <w:pStyle w:val="54"/>
              <w:jc w:val="center"/>
              <w:rPr>
                <w:rFonts w:hint="default" w:asciiTheme="minorEastAsia" w:hAnsiTheme="minorEastAsia"/>
                <w:color w:val="auto"/>
                <w:sz w:val="24"/>
                <w:szCs w:val="24"/>
                <w:highlight w:val="none"/>
              </w:rPr>
            </w:pPr>
          </w:p>
        </w:tc>
        <w:tc>
          <w:tcPr>
            <w:tcW w:w="639" w:type="dxa"/>
            <w:vAlign w:val="center"/>
          </w:tcPr>
          <w:p w14:paraId="199D21C8">
            <w:pPr>
              <w:pStyle w:val="54"/>
              <w:jc w:val="center"/>
              <w:rPr>
                <w:rFonts w:hint="default" w:asciiTheme="minorEastAsia" w:hAnsiTheme="minorEastAsia"/>
                <w:color w:val="auto"/>
                <w:sz w:val="24"/>
                <w:szCs w:val="24"/>
                <w:highlight w:val="none"/>
              </w:rPr>
            </w:pPr>
          </w:p>
        </w:tc>
        <w:tc>
          <w:tcPr>
            <w:tcW w:w="639" w:type="dxa"/>
            <w:vAlign w:val="center"/>
          </w:tcPr>
          <w:p w14:paraId="671FDED7">
            <w:pPr>
              <w:pStyle w:val="54"/>
              <w:jc w:val="center"/>
              <w:rPr>
                <w:rFonts w:hint="default" w:asciiTheme="minorEastAsia" w:hAnsiTheme="minorEastAsia"/>
                <w:color w:val="auto"/>
                <w:sz w:val="24"/>
                <w:szCs w:val="24"/>
                <w:highlight w:val="none"/>
              </w:rPr>
            </w:pPr>
          </w:p>
        </w:tc>
        <w:tc>
          <w:tcPr>
            <w:tcW w:w="639" w:type="dxa"/>
            <w:vAlign w:val="center"/>
          </w:tcPr>
          <w:p w14:paraId="2F6D759E">
            <w:pPr>
              <w:pStyle w:val="54"/>
              <w:jc w:val="center"/>
              <w:rPr>
                <w:rFonts w:hint="default" w:asciiTheme="minorEastAsia" w:hAnsiTheme="minorEastAsia"/>
                <w:color w:val="auto"/>
                <w:sz w:val="24"/>
                <w:szCs w:val="24"/>
                <w:highlight w:val="none"/>
              </w:rPr>
            </w:pPr>
          </w:p>
        </w:tc>
        <w:tc>
          <w:tcPr>
            <w:tcW w:w="639" w:type="dxa"/>
            <w:vAlign w:val="center"/>
          </w:tcPr>
          <w:p w14:paraId="41E3D7E0">
            <w:pPr>
              <w:pStyle w:val="54"/>
              <w:jc w:val="center"/>
              <w:rPr>
                <w:rFonts w:hint="default" w:asciiTheme="minorEastAsia" w:hAnsiTheme="minorEastAsia"/>
                <w:color w:val="auto"/>
                <w:sz w:val="24"/>
                <w:szCs w:val="24"/>
                <w:highlight w:val="none"/>
              </w:rPr>
            </w:pPr>
          </w:p>
        </w:tc>
        <w:tc>
          <w:tcPr>
            <w:tcW w:w="639" w:type="dxa"/>
            <w:vAlign w:val="center"/>
          </w:tcPr>
          <w:p w14:paraId="6B729676">
            <w:pPr>
              <w:pStyle w:val="54"/>
              <w:jc w:val="center"/>
              <w:rPr>
                <w:rFonts w:hint="default" w:asciiTheme="minorEastAsia" w:hAnsiTheme="minorEastAsia"/>
                <w:color w:val="auto"/>
                <w:sz w:val="24"/>
                <w:szCs w:val="24"/>
                <w:highlight w:val="none"/>
              </w:rPr>
            </w:pPr>
          </w:p>
        </w:tc>
      </w:tr>
    </w:tbl>
    <w:p w14:paraId="15E45AE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合计：</w:t>
      </w:r>
    </w:p>
    <w:p w14:paraId="5EBBAF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51E9B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A123A0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5985BF16">
      <w:pPr>
        <w:rPr>
          <w:color w:val="auto"/>
          <w:highlight w:val="none"/>
        </w:rPr>
        <w:sectPr>
          <w:pgSz w:w="11906" w:h="16838"/>
          <w:pgMar w:top="1418" w:right="1418" w:bottom="1418" w:left="1418" w:header="851" w:footer="992" w:gutter="0"/>
          <w:cols w:space="425" w:num="1"/>
          <w:docGrid w:type="lines" w:linePitch="312" w:charSpace="0"/>
        </w:sectPr>
      </w:pPr>
    </w:p>
    <w:p w14:paraId="40F9696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三、招标文件规定的价格扣除证明材料（若有）</w:t>
      </w:r>
    </w:p>
    <w:p w14:paraId="0E505FA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三-1优先类节能产品、环境标志产品价格扣除证明材料（若有）</w:t>
      </w:r>
    </w:p>
    <w:p w14:paraId="695DB9A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三-1-①优先类节能产品、环境标志产品统计表（价格扣除适用，若有）</w:t>
      </w:r>
    </w:p>
    <w:p w14:paraId="5B2CD78B">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AA7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AE0911C">
            <w:pPr>
              <w:spacing w:line="360" w:lineRule="auto"/>
              <w:jc w:val="center"/>
              <w:rPr>
                <w:rFonts w:asciiTheme="minorEastAsia" w:hAnsiTheme="minorEastAsia"/>
                <w:color w:val="auto"/>
                <w:sz w:val="24"/>
                <w:szCs w:val="24"/>
                <w:highlight w:val="none"/>
              </w:rPr>
            </w:pPr>
          </w:p>
        </w:tc>
        <w:tc>
          <w:tcPr>
            <w:tcW w:w="7122" w:type="dxa"/>
            <w:gridSpan w:val="3"/>
            <w:vAlign w:val="center"/>
          </w:tcPr>
          <w:p w14:paraId="52A665E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7D45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4F7FCE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87" w:type="dxa"/>
            <w:vAlign w:val="center"/>
          </w:tcPr>
          <w:p w14:paraId="6CAFAB6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187" w:type="dxa"/>
            <w:vAlign w:val="center"/>
          </w:tcPr>
          <w:p w14:paraId="54D0B3B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4748" w:type="dxa"/>
            <w:vAlign w:val="center"/>
          </w:tcPr>
          <w:p w14:paraId="07EE698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r>
      <w:tr w14:paraId="695AF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9F89A3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87" w:type="dxa"/>
            <w:vAlign w:val="center"/>
          </w:tcPr>
          <w:p w14:paraId="495F87F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187" w:type="dxa"/>
            <w:vAlign w:val="center"/>
          </w:tcPr>
          <w:p w14:paraId="6029C80C">
            <w:pPr>
              <w:spacing w:line="360" w:lineRule="auto"/>
              <w:jc w:val="center"/>
              <w:rPr>
                <w:rFonts w:asciiTheme="minorEastAsia" w:hAnsiTheme="minorEastAsia"/>
                <w:color w:val="auto"/>
                <w:sz w:val="24"/>
                <w:szCs w:val="24"/>
                <w:highlight w:val="none"/>
              </w:rPr>
            </w:pPr>
          </w:p>
        </w:tc>
        <w:tc>
          <w:tcPr>
            <w:tcW w:w="4748" w:type="dxa"/>
            <w:vAlign w:val="center"/>
          </w:tcPr>
          <w:p w14:paraId="56FEE2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供应商自行填写种类，并上传证明附件以便评审查看</w:t>
            </w:r>
          </w:p>
        </w:tc>
      </w:tr>
      <w:tr w14:paraId="07DEF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83EB2C7">
            <w:pPr>
              <w:spacing w:line="360" w:lineRule="auto"/>
              <w:jc w:val="center"/>
              <w:rPr>
                <w:rFonts w:asciiTheme="minorEastAsia" w:hAnsiTheme="minorEastAsia"/>
                <w:color w:val="auto"/>
                <w:sz w:val="24"/>
                <w:szCs w:val="24"/>
                <w:highlight w:val="none"/>
              </w:rPr>
            </w:pPr>
          </w:p>
        </w:tc>
        <w:tc>
          <w:tcPr>
            <w:tcW w:w="1187" w:type="dxa"/>
            <w:vAlign w:val="center"/>
          </w:tcPr>
          <w:p w14:paraId="4A2DC93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91FB30">
            <w:pPr>
              <w:pStyle w:val="54"/>
              <w:spacing w:line="360" w:lineRule="auto"/>
              <w:jc w:val="center"/>
              <w:rPr>
                <w:rFonts w:hint="default" w:asciiTheme="minorEastAsia" w:hAnsiTheme="minorEastAsia"/>
                <w:color w:val="auto"/>
                <w:sz w:val="24"/>
                <w:szCs w:val="24"/>
                <w:highlight w:val="none"/>
              </w:rPr>
            </w:pPr>
          </w:p>
        </w:tc>
        <w:tc>
          <w:tcPr>
            <w:tcW w:w="1187" w:type="dxa"/>
            <w:vAlign w:val="center"/>
          </w:tcPr>
          <w:p w14:paraId="5138A802">
            <w:pPr>
              <w:spacing w:line="360" w:lineRule="auto"/>
              <w:jc w:val="center"/>
              <w:rPr>
                <w:rFonts w:asciiTheme="minorEastAsia" w:hAnsiTheme="minorEastAsia"/>
                <w:color w:val="auto"/>
                <w:sz w:val="24"/>
                <w:szCs w:val="24"/>
                <w:highlight w:val="none"/>
              </w:rPr>
            </w:pPr>
          </w:p>
        </w:tc>
        <w:tc>
          <w:tcPr>
            <w:tcW w:w="4748" w:type="dxa"/>
            <w:vAlign w:val="center"/>
          </w:tcPr>
          <w:p w14:paraId="5965926C">
            <w:pPr>
              <w:spacing w:line="360" w:lineRule="auto"/>
              <w:jc w:val="center"/>
              <w:rPr>
                <w:rFonts w:asciiTheme="minorEastAsia" w:hAnsiTheme="minorEastAsia"/>
                <w:color w:val="auto"/>
                <w:sz w:val="24"/>
                <w:szCs w:val="24"/>
                <w:highlight w:val="none"/>
              </w:rPr>
            </w:pPr>
          </w:p>
        </w:tc>
      </w:tr>
      <w:tr w14:paraId="63187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89CA0B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22" w:type="dxa"/>
            <w:gridSpan w:val="3"/>
            <w:vAlign w:val="center"/>
          </w:tcPr>
          <w:p w14:paraId="142FB124">
            <w:pPr>
              <w:pStyle w:val="54"/>
              <w:spacing w:line="360" w:lineRule="auto"/>
              <w:jc w:val="center"/>
              <w:rPr>
                <w:rFonts w:hint="default" w:asciiTheme="minorEastAsia" w:hAnsiTheme="minorEastAsia"/>
                <w:color w:val="auto"/>
                <w:sz w:val="24"/>
                <w:szCs w:val="24"/>
                <w:highlight w:val="none"/>
              </w:rPr>
            </w:pPr>
          </w:p>
        </w:tc>
      </w:tr>
    </w:tbl>
    <w:p w14:paraId="0EBC832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AFE4A4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1、对节能、环境标志产品计算价格扣除时，只依据电子投标文件“投标（响应）报价明细表”以及“优先类节能产品、环境标志产品证明材料（价格扣除适用，若有）”。</w:t>
      </w:r>
    </w:p>
    <w:p w14:paraId="73FDFB3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2、本表以采购包为单位，不同采购包请分别填写；同一采购包请按照其品目号顺序分别填写。</w:t>
      </w:r>
    </w:p>
    <w:p w14:paraId="6A194F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3、具体统计、计算：</w:t>
      </w:r>
    </w:p>
    <w:p w14:paraId="65AB0A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3.1同一品目中各认证证书不重复计算价格扣除。</w:t>
      </w:r>
    </w:p>
    <w:p w14:paraId="4358E4D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3.2计算结果若除不尽，可四舍五入保留到小数点后两位。</w:t>
      </w:r>
    </w:p>
    <w:p w14:paraId="6C39F4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3.3投标人（供应商）按照采购文件要求认真统计、计算。</w:t>
      </w:r>
    </w:p>
    <w:p w14:paraId="68F6C9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3.4若无节能、环境标志产品，不填写本表。</w:t>
      </w:r>
    </w:p>
    <w:p w14:paraId="18DF7F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3.5强制类节能产品不享受价格扣除。</w:t>
      </w:r>
    </w:p>
    <w:p w14:paraId="71F0E5F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DDB2159">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A5F83D5">
      <w:pPr>
        <w:rPr>
          <w:color w:val="auto"/>
          <w:highlight w:val="none"/>
        </w:rPr>
      </w:pPr>
    </w:p>
    <w:p w14:paraId="16C3800F">
      <w:pPr>
        <w:rPr>
          <w:color w:val="auto"/>
          <w:highlight w:val="none"/>
        </w:rPr>
        <w:sectPr>
          <w:pgSz w:w="11906" w:h="16838"/>
          <w:pgMar w:top="1418" w:right="1418" w:bottom="1418" w:left="1418" w:header="851" w:footer="992" w:gutter="0"/>
          <w:cols w:space="425" w:num="1"/>
          <w:docGrid w:type="lines" w:linePitch="312" w:charSpace="0"/>
        </w:sectPr>
      </w:pPr>
    </w:p>
    <w:p w14:paraId="6755704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三-1-②优先类节能产品、环境标志产品证明材料（价格扣除适用，若有）</w:t>
      </w:r>
    </w:p>
    <w:p w14:paraId="6F672DF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三-2小型、微型企业产品等价格扣除证明材料（若有）</w:t>
      </w:r>
    </w:p>
    <w:p w14:paraId="454AD06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三-2-①中小企业声明函（价格扣除适用，若有）</w:t>
      </w:r>
    </w:p>
    <w:p w14:paraId="7E7471D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35FA0C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2D1375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76203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24863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D1EA9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335181A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2BA5C32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C7A481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5E2A55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47CC0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446CAA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4B96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7862C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17882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774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C3EEDD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A2DFE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9C7730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242E2E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4BDB3AD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1A660A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68A1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BA8FC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2E7A9B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9C05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A68ECA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三-2-②小型、微型企业等证明材料（价格扣除适用，若有）</w:t>
      </w:r>
    </w:p>
    <w:p w14:paraId="2FB0A6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1A67D7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2FAC2D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4470EE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76A3564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残疾人福利性单位声明函（价格扣除适用，若有）</w:t>
      </w:r>
    </w:p>
    <w:p w14:paraId="3851C0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9EC3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34EA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7ECD6E2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7C49B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5FAAFC5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5551576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600693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148AB087">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C07FF3E">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40416C4">
      <w:pPr>
        <w:pStyle w:val="54"/>
        <w:spacing w:line="360" w:lineRule="auto"/>
        <w:rPr>
          <w:rFonts w:hint="default" w:asciiTheme="minorEastAsia" w:hAnsiTheme="minorEastAsia"/>
          <w:color w:val="auto"/>
          <w:sz w:val="24"/>
          <w:szCs w:val="24"/>
          <w:highlight w:val="none"/>
        </w:rPr>
      </w:pPr>
    </w:p>
    <w:p w14:paraId="25E7AC70">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6C8F348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6094AE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A02401E">
      <w:pPr>
        <w:rPr>
          <w:color w:val="auto"/>
          <w:highlight w:val="none"/>
        </w:rPr>
      </w:pPr>
    </w:p>
    <w:p w14:paraId="6ABB21C2">
      <w:pPr>
        <w:rPr>
          <w:color w:val="auto"/>
          <w:highlight w:val="none"/>
        </w:rPr>
        <w:sectPr>
          <w:pgSz w:w="11906" w:h="16838"/>
          <w:pgMar w:top="1418" w:right="1418" w:bottom="1418" w:left="1418" w:header="851" w:footer="992" w:gutter="0"/>
          <w:cols w:space="425" w:num="1"/>
          <w:docGrid w:type="lines" w:linePitch="312" w:charSpace="0"/>
        </w:sectPr>
      </w:pPr>
    </w:p>
    <w:p w14:paraId="59000A3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三-3招标文件规定的其他价格扣除证明材料（若有）</w:t>
      </w:r>
    </w:p>
    <w:p w14:paraId="2051622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57A9D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67521967">
      <w:pPr>
        <w:rPr>
          <w:color w:val="auto"/>
          <w:highlight w:val="none"/>
        </w:rPr>
      </w:pPr>
    </w:p>
    <w:p w14:paraId="0AD4ABD1">
      <w:pPr>
        <w:rPr>
          <w:color w:val="auto"/>
          <w:highlight w:val="none"/>
        </w:rPr>
        <w:sectPr>
          <w:pgSz w:w="11906" w:h="16838"/>
          <w:pgMar w:top="1418" w:right="1418" w:bottom="1418" w:left="1418" w:header="851" w:footer="992" w:gutter="0"/>
          <w:cols w:space="425" w:num="1"/>
          <w:docGrid w:type="lines" w:linePitch="312" w:charSpace="0"/>
        </w:sectPr>
      </w:pPr>
    </w:p>
    <w:p w14:paraId="37DCD9A6">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技术</w:t>
      </w:r>
      <w:r>
        <w:rPr>
          <w:b/>
          <w:color w:val="auto"/>
          <w:sz w:val="28"/>
          <w:szCs w:val="28"/>
          <w:highlight w:val="none"/>
        </w:rPr>
        <w:t>商务部分）</w:t>
      </w:r>
    </w:p>
    <w:p w14:paraId="159956C9">
      <w:pPr>
        <w:jc w:val="center"/>
        <w:rPr>
          <w:rFonts w:ascii="宋体" w:hAnsi="宋体" w:eastAsia="宋体"/>
          <w:b/>
          <w:color w:val="auto"/>
          <w:sz w:val="32"/>
          <w:szCs w:val="32"/>
          <w:highlight w:val="none"/>
        </w:rPr>
      </w:pPr>
    </w:p>
    <w:p w14:paraId="2B2292F6">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6C9AD0AD">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技术商务</w:t>
      </w:r>
      <w:r>
        <w:rPr>
          <w:rFonts w:ascii="宋体" w:hAnsi="宋体" w:eastAsia="宋体"/>
          <w:b/>
          <w:color w:val="auto"/>
          <w:sz w:val="32"/>
          <w:szCs w:val="32"/>
          <w:highlight w:val="none"/>
        </w:rPr>
        <w:t>部分）</w:t>
      </w:r>
    </w:p>
    <w:p w14:paraId="18C96857">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C40A8AF">
      <w:pPr>
        <w:jc w:val="center"/>
        <w:rPr>
          <w:rFonts w:ascii="宋体" w:hAnsi="宋体" w:eastAsia="宋体"/>
          <w:b/>
          <w:color w:val="auto"/>
          <w:sz w:val="32"/>
          <w:szCs w:val="32"/>
          <w:highlight w:val="none"/>
        </w:rPr>
      </w:pPr>
    </w:p>
    <w:p w14:paraId="145F8DEC">
      <w:pPr>
        <w:jc w:val="center"/>
        <w:rPr>
          <w:rFonts w:ascii="宋体" w:hAnsi="宋体" w:eastAsia="宋体"/>
          <w:b/>
          <w:color w:val="auto"/>
          <w:sz w:val="32"/>
          <w:szCs w:val="32"/>
          <w:highlight w:val="none"/>
        </w:rPr>
      </w:pPr>
    </w:p>
    <w:p w14:paraId="7B18E87B">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49518A6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09950D3A">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69B05E9D">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19B4A83">
      <w:pPr>
        <w:jc w:val="center"/>
        <w:rPr>
          <w:rFonts w:ascii="宋体" w:hAnsi="宋体" w:eastAsia="宋体"/>
          <w:b/>
          <w:color w:val="auto"/>
          <w:sz w:val="32"/>
          <w:szCs w:val="32"/>
          <w:highlight w:val="none"/>
        </w:rPr>
      </w:pPr>
    </w:p>
    <w:p w14:paraId="4D1D29E1">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3B1701CC">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4A4D9C8C">
      <w:pPr>
        <w:rPr>
          <w:color w:val="auto"/>
          <w:highlight w:val="none"/>
        </w:rPr>
      </w:pPr>
    </w:p>
    <w:p w14:paraId="39ED171F">
      <w:pPr>
        <w:rPr>
          <w:color w:val="auto"/>
          <w:highlight w:val="none"/>
        </w:rPr>
      </w:pPr>
    </w:p>
    <w:p w14:paraId="574C80E3">
      <w:pPr>
        <w:rPr>
          <w:color w:val="auto"/>
          <w:highlight w:val="none"/>
        </w:rPr>
        <w:sectPr>
          <w:pgSz w:w="11906" w:h="16838"/>
          <w:pgMar w:top="1418" w:right="1418" w:bottom="1418" w:left="1418" w:header="851" w:footer="992" w:gutter="0"/>
          <w:cols w:space="425" w:num="1"/>
          <w:docGrid w:type="lines" w:linePitch="312" w:charSpace="0"/>
        </w:sectPr>
      </w:pPr>
    </w:p>
    <w:p w14:paraId="4297A4C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1AA3B72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一、标的说明一览表</w:t>
      </w:r>
    </w:p>
    <w:p w14:paraId="29360E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二、技术和服务要求响应表</w:t>
      </w:r>
    </w:p>
    <w:p w14:paraId="50D9C54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三、商务条件响应表</w:t>
      </w:r>
    </w:p>
    <w:p w14:paraId="075A0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四、投标人提交的其他资料（若有）</w:t>
      </w:r>
    </w:p>
    <w:p w14:paraId="6A5C8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F283E7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技术商务部分中不得出现报价部分的全部或部分的投标报价信息（或组成资料），否则符合性审查不合格。</w:t>
      </w:r>
    </w:p>
    <w:p w14:paraId="582AB27A">
      <w:pPr>
        <w:rPr>
          <w:color w:val="auto"/>
          <w:highlight w:val="none"/>
        </w:rPr>
      </w:pPr>
    </w:p>
    <w:p w14:paraId="5DB0D78D">
      <w:pPr>
        <w:rPr>
          <w:color w:val="auto"/>
          <w:highlight w:val="none"/>
        </w:rPr>
        <w:sectPr>
          <w:pgSz w:w="11906" w:h="16838"/>
          <w:pgMar w:top="1418" w:right="1418" w:bottom="1418" w:left="1418" w:header="851" w:footer="992" w:gutter="0"/>
          <w:cols w:space="425" w:num="1"/>
          <w:docGrid w:type="lines" w:linePitch="312" w:charSpace="0"/>
        </w:sectPr>
      </w:pPr>
    </w:p>
    <w:p w14:paraId="51BDA30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一、标的说明一览表</w:t>
      </w:r>
    </w:p>
    <w:p w14:paraId="4FFB54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742DD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69F0740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66" w:type="dxa"/>
            <w:vAlign w:val="center"/>
          </w:tcPr>
          <w:p w14:paraId="5F00B34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531" w:type="dxa"/>
            <w:vAlign w:val="center"/>
          </w:tcPr>
          <w:p w14:paraId="4E98FA2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投标标的</w:t>
            </w:r>
          </w:p>
        </w:tc>
        <w:tc>
          <w:tcPr>
            <w:tcW w:w="1161" w:type="dxa"/>
            <w:vAlign w:val="center"/>
          </w:tcPr>
          <w:p w14:paraId="5A8D66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161" w:type="dxa"/>
            <w:vAlign w:val="center"/>
          </w:tcPr>
          <w:p w14:paraId="5B98CD1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161" w:type="dxa"/>
            <w:vAlign w:val="center"/>
          </w:tcPr>
          <w:p w14:paraId="4F6A242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来源地</w:t>
            </w:r>
          </w:p>
        </w:tc>
        <w:tc>
          <w:tcPr>
            <w:tcW w:w="1153" w:type="dxa"/>
            <w:vAlign w:val="center"/>
          </w:tcPr>
          <w:p w14:paraId="10086AA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r>
      <w:tr w14:paraId="534CB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34BE9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7305BD1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531" w:type="dxa"/>
            <w:vAlign w:val="center"/>
          </w:tcPr>
          <w:p w14:paraId="60F5610B">
            <w:pPr>
              <w:spacing w:line="360" w:lineRule="auto"/>
              <w:jc w:val="center"/>
              <w:rPr>
                <w:rFonts w:asciiTheme="minorEastAsia" w:hAnsiTheme="minorEastAsia"/>
                <w:color w:val="auto"/>
                <w:sz w:val="24"/>
                <w:szCs w:val="24"/>
                <w:highlight w:val="none"/>
              </w:rPr>
            </w:pPr>
          </w:p>
        </w:tc>
        <w:tc>
          <w:tcPr>
            <w:tcW w:w="1161" w:type="dxa"/>
            <w:vAlign w:val="center"/>
          </w:tcPr>
          <w:p w14:paraId="06C21FEB">
            <w:pPr>
              <w:spacing w:line="360" w:lineRule="auto"/>
              <w:jc w:val="center"/>
              <w:rPr>
                <w:rFonts w:asciiTheme="minorEastAsia" w:hAnsiTheme="minorEastAsia"/>
                <w:color w:val="auto"/>
                <w:sz w:val="24"/>
                <w:szCs w:val="24"/>
                <w:highlight w:val="none"/>
              </w:rPr>
            </w:pPr>
          </w:p>
        </w:tc>
        <w:tc>
          <w:tcPr>
            <w:tcW w:w="1161" w:type="dxa"/>
            <w:vAlign w:val="center"/>
          </w:tcPr>
          <w:p w14:paraId="59468FD7">
            <w:pPr>
              <w:spacing w:line="360" w:lineRule="auto"/>
              <w:jc w:val="center"/>
              <w:rPr>
                <w:rFonts w:asciiTheme="minorEastAsia" w:hAnsiTheme="minorEastAsia"/>
                <w:color w:val="auto"/>
                <w:sz w:val="24"/>
                <w:szCs w:val="24"/>
                <w:highlight w:val="none"/>
              </w:rPr>
            </w:pPr>
          </w:p>
        </w:tc>
        <w:tc>
          <w:tcPr>
            <w:tcW w:w="1161" w:type="dxa"/>
            <w:vAlign w:val="center"/>
          </w:tcPr>
          <w:p w14:paraId="203B6682">
            <w:pPr>
              <w:spacing w:line="360" w:lineRule="auto"/>
              <w:jc w:val="center"/>
              <w:rPr>
                <w:rFonts w:asciiTheme="minorEastAsia" w:hAnsiTheme="minorEastAsia"/>
                <w:color w:val="auto"/>
                <w:sz w:val="24"/>
                <w:szCs w:val="24"/>
                <w:highlight w:val="none"/>
              </w:rPr>
            </w:pPr>
          </w:p>
        </w:tc>
        <w:tc>
          <w:tcPr>
            <w:tcW w:w="1153" w:type="dxa"/>
            <w:vAlign w:val="center"/>
          </w:tcPr>
          <w:p w14:paraId="6ED074E7">
            <w:pPr>
              <w:spacing w:line="360" w:lineRule="auto"/>
              <w:jc w:val="center"/>
              <w:rPr>
                <w:rFonts w:asciiTheme="minorEastAsia" w:hAnsiTheme="minorEastAsia"/>
                <w:color w:val="auto"/>
                <w:sz w:val="24"/>
                <w:szCs w:val="24"/>
                <w:highlight w:val="none"/>
              </w:rPr>
            </w:pPr>
          </w:p>
        </w:tc>
      </w:tr>
      <w:tr w14:paraId="42CC8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6941D1D7">
            <w:pPr>
              <w:spacing w:line="360" w:lineRule="auto"/>
              <w:jc w:val="center"/>
              <w:rPr>
                <w:rFonts w:asciiTheme="minorEastAsia" w:hAnsiTheme="minorEastAsia"/>
                <w:color w:val="auto"/>
                <w:sz w:val="24"/>
                <w:szCs w:val="24"/>
                <w:highlight w:val="none"/>
              </w:rPr>
            </w:pPr>
          </w:p>
        </w:tc>
        <w:tc>
          <w:tcPr>
            <w:tcW w:w="1166" w:type="dxa"/>
            <w:vAlign w:val="center"/>
          </w:tcPr>
          <w:p w14:paraId="4C72124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531" w:type="dxa"/>
            <w:vAlign w:val="center"/>
          </w:tcPr>
          <w:p w14:paraId="5EF0C54F">
            <w:pPr>
              <w:spacing w:line="360" w:lineRule="auto"/>
              <w:jc w:val="center"/>
              <w:rPr>
                <w:rFonts w:asciiTheme="minorEastAsia" w:hAnsiTheme="minorEastAsia"/>
                <w:color w:val="auto"/>
                <w:sz w:val="24"/>
                <w:szCs w:val="24"/>
                <w:highlight w:val="none"/>
              </w:rPr>
            </w:pPr>
          </w:p>
        </w:tc>
        <w:tc>
          <w:tcPr>
            <w:tcW w:w="1161" w:type="dxa"/>
            <w:vAlign w:val="center"/>
          </w:tcPr>
          <w:p w14:paraId="47701875">
            <w:pPr>
              <w:spacing w:line="360" w:lineRule="auto"/>
              <w:jc w:val="center"/>
              <w:rPr>
                <w:rFonts w:asciiTheme="minorEastAsia" w:hAnsiTheme="minorEastAsia"/>
                <w:color w:val="auto"/>
                <w:sz w:val="24"/>
                <w:szCs w:val="24"/>
                <w:highlight w:val="none"/>
              </w:rPr>
            </w:pPr>
          </w:p>
        </w:tc>
        <w:tc>
          <w:tcPr>
            <w:tcW w:w="1161" w:type="dxa"/>
            <w:vAlign w:val="center"/>
          </w:tcPr>
          <w:p w14:paraId="735F4254">
            <w:pPr>
              <w:spacing w:line="360" w:lineRule="auto"/>
              <w:jc w:val="center"/>
              <w:rPr>
                <w:rFonts w:asciiTheme="minorEastAsia" w:hAnsiTheme="minorEastAsia"/>
                <w:color w:val="auto"/>
                <w:sz w:val="24"/>
                <w:szCs w:val="24"/>
                <w:highlight w:val="none"/>
              </w:rPr>
            </w:pPr>
          </w:p>
        </w:tc>
        <w:tc>
          <w:tcPr>
            <w:tcW w:w="1161" w:type="dxa"/>
            <w:vAlign w:val="center"/>
          </w:tcPr>
          <w:p w14:paraId="4BE6AE35">
            <w:pPr>
              <w:spacing w:line="360" w:lineRule="auto"/>
              <w:jc w:val="center"/>
              <w:rPr>
                <w:rFonts w:asciiTheme="minorEastAsia" w:hAnsiTheme="minorEastAsia"/>
                <w:color w:val="auto"/>
                <w:sz w:val="24"/>
                <w:szCs w:val="24"/>
                <w:highlight w:val="none"/>
              </w:rPr>
            </w:pPr>
          </w:p>
        </w:tc>
        <w:tc>
          <w:tcPr>
            <w:tcW w:w="1153" w:type="dxa"/>
            <w:vAlign w:val="center"/>
          </w:tcPr>
          <w:p w14:paraId="16229845">
            <w:pPr>
              <w:spacing w:line="360" w:lineRule="auto"/>
              <w:jc w:val="center"/>
              <w:rPr>
                <w:rFonts w:asciiTheme="minorEastAsia" w:hAnsiTheme="minorEastAsia"/>
                <w:color w:val="auto"/>
                <w:sz w:val="24"/>
                <w:szCs w:val="24"/>
                <w:highlight w:val="none"/>
              </w:rPr>
            </w:pPr>
          </w:p>
        </w:tc>
      </w:tr>
      <w:tr w14:paraId="2F80C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7E35D0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1F8EEDCD">
            <w:pPr>
              <w:spacing w:line="360" w:lineRule="auto"/>
              <w:jc w:val="center"/>
              <w:rPr>
                <w:rFonts w:asciiTheme="minorEastAsia" w:hAnsiTheme="minorEastAsia"/>
                <w:color w:val="auto"/>
                <w:sz w:val="24"/>
                <w:szCs w:val="24"/>
                <w:highlight w:val="none"/>
              </w:rPr>
            </w:pPr>
          </w:p>
        </w:tc>
        <w:tc>
          <w:tcPr>
            <w:tcW w:w="1531" w:type="dxa"/>
            <w:vAlign w:val="center"/>
          </w:tcPr>
          <w:p w14:paraId="799AEB35">
            <w:pPr>
              <w:spacing w:line="360" w:lineRule="auto"/>
              <w:jc w:val="center"/>
              <w:rPr>
                <w:rFonts w:asciiTheme="minorEastAsia" w:hAnsiTheme="minorEastAsia"/>
                <w:color w:val="auto"/>
                <w:sz w:val="24"/>
                <w:szCs w:val="24"/>
                <w:highlight w:val="none"/>
              </w:rPr>
            </w:pPr>
          </w:p>
        </w:tc>
        <w:tc>
          <w:tcPr>
            <w:tcW w:w="1161" w:type="dxa"/>
            <w:vAlign w:val="center"/>
          </w:tcPr>
          <w:p w14:paraId="2EAC3FAD">
            <w:pPr>
              <w:spacing w:line="360" w:lineRule="auto"/>
              <w:jc w:val="center"/>
              <w:rPr>
                <w:rFonts w:asciiTheme="minorEastAsia" w:hAnsiTheme="minorEastAsia"/>
                <w:color w:val="auto"/>
                <w:sz w:val="24"/>
                <w:szCs w:val="24"/>
                <w:highlight w:val="none"/>
              </w:rPr>
            </w:pPr>
          </w:p>
        </w:tc>
        <w:tc>
          <w:tcPr>
            <w:tcW w:w="1161" w:type="dxa"/>
            <w:vAlign w:val="center"/>
          </w:tcPr>
          <w:p w14:paraId="015DB478">
            <w:pPr>
              <w:spacing w:line="360" w:lineRule="auto"/>
              <w:jc w:val="center"/>
              <w:rPr>
                <w:rFonts w:asciiTheme="minorEastAsia" w:hAnsiTheme="minorEastAsia"/>
                <w:color w:val="auto"/>
                <w:sz w:val="24"/>
                <w:szCs w:val="24"/>
                <w:highlight w:val="none"/>
              </w:rPr>
            </w:pPr>
          </w:p>
        </w:tc>
        <w:tc>
          <w:tcPr>
            <w:tcW w:w="1161" w:type="dxa"/>
            <w:vAlign w:val="center"/>
          </w:tcPr>
          <w:p w14:paraId="62687A49">
            <w:pPr>
              <w:spacing w:line="360" w:lineRule="auto"/>
              <w:jc w:val="center"/>
              <w:rPr>
                <w:rFonts w:asciiTheme="minorEastAsia" w:hAnsiTheme="minorEastAsia"/>
                <w:color w:val="auto"/>
                <w:sz w:val="24"/>
                <w:szCs w:val="24"/>
                <w:highlight w:val="none"/>
              </w:rPr>
            </w:pPr>
          </w:p>
        </w:tc>
        <w:tc>
          <w:tcPr>
            <w:tcW w:w="1153" w:type="dxa"/>
            <w:vAlign w:val="center"/>
          </w:tcPr>
          <w:p w14:paraId="646FDC1F">
            <w:pPr>
              <w:spacing w:line="360" w:lineRule="auto"/>
              <w:jc w:val="center"/>
              <w:rPr>
                <w:rFonts w:asciiTheme="minorEastAsia" w:hAnsiTheme="minorEastAsia"/>
                <w:color w:val="auto"/>
                <w:sz w:val="24"/>
                <w:szCs w:val="24"/>
                <w:highlight w:val="none"/>
              </w:rPr>
            </w:pPr>
          </w:p>
        </w:tc>
      </w:tr>
    </w:tbl>
    <w:p w14:paraId="2BFE37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4A969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0576B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1.1“采购包”、“品目号”、“投标标的”及“数量”应与招标文件《采购标的一览表》中的有关内容（“采购包”、“品目号”、“采购标的”及“数量”）保持一致。</w:t>
      </w:r>
    </w:p>
    <w:p w14:paraId="257223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2EFDB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40B269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43EF66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3、电子投标文件中涉及“投标标的”、“数量”、“规格”、“来源地”的内容若不一致，应以本表为准。</w:t>
      </w:r>
    </w:p>
    <w:p w14:paraId="5F42DFA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1DBA55A">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D90EC4">
      <w:pPr>
        <w:rPr>
          <w:color w:val="auto"/>
          <w:highlight w:val="none"/>
        </w:rPr>
      </w:pPr>
    </w:p>
    <w:p w14:paraId="66C3B2E6">
      <w:pPr>
        <w:rPr>
          <w:color w:val="auto"/>
          <w:highlight w:val="none"/>
        </w:rPr>
        <w:sectPr>
          <w:pgSz w:w="11906" w:h="16838"/>
          <w:pgMar w:top="1418" w:right="1418" w:bottom="1418" w:left="1418" w:header="851" w:footer="992" w:gutter="0"/>
          <w:cols w:space="425" w:num="1"/>
          <w:docGrid w:type="lines" w:linePitch="312" w:charSpace="0"/>
        </w:sectPr>
      </w:pPr>
    </w:p>
    <w:p w14:paraId="2A9ADE3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二、技术和服务要求响应表</w:t>
      </w:r>
    </w:p>
    <w:p w14:paraId="2EE107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0E5B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13B9BE2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6522345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2324" w:type="dxa"/>
            <w:vAlign w:val="center"/>
          </w:tcPr>
          <w:p w14:paraId="5B7F3CB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技术和服务要求</w:t>
            </w:r>
          </w:p>
        </w:tc>
        <w:tc>
          <w:tcPr>
            <w:tcW w:w="1661" w:type="dxa"/>
            <w:vAlign w:val="center"/>
          </w:tcPr>
          <w:p w14:paraId="533C95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1902" w:type="dxa"/>
            <w:vAlign w:val="center"/>
          </w:tcPr>
          <w:p w14:paraId="3F8C584A">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5C39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2490DE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02BAD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24" w:type="dxa"/>
            <w:vAlign w:val="center"/>
          </w:tcPr>
          <w:p w14:paraId="03F71D69">
            <w:pPr>
              <w:spacing w:line="360" w:lineRule="auto"/>
              <w:jc w:val="center"/>
              <w:rPr>
                <w:rFonts w:asciiTheme="minorEastAsia" w:hAnsiTheme="minorEastAsia"/>
                <w:color w:val="auto"/>
                <w:sz w:val="24"/>
                <w:szCs w:val="24"/>
                <w:highlight w:val="none"/>
              </w:rPr>
            </w:pPr>
          </w:p>
        </w:tc>
        <w:tc>
          <w:tcPr>
            <w:tcW w:w="1661" w:type="dxa"/>
            <w:vAlign w:val="center"/>
          </w:tcPr>
          <w:p w14:paraId="7FE8AFB6">
            <w:pPr>
              <w:spacing w:line="360" w:lineRule="auto"/>
              <w:jc w:val="center"/>
              <w:rPr>
                <w:rFonts w:asciiTheme="minorEastAsia" w:hAnsiTheme="minorEastAsia"/>
                <w:color w:val="auto"/>
                <w:sz w:val="24"/>
                <w:szCs w:val="24"/>
                <w:highlight w:val="none"/>
              </w:rPr>
            </w:pPr>
          </w:p>
        </w:tc>
        <w:tc>
          <w:tcPr>
            <w:tcW w:w="1902" w:type="dxa"/>
            <w:vAlign w:val="center"/>
          </w:tcPr>
          <w:p w14:paraId="797376AB">
            <w:pPr>
              <w:spacing w:line="360" w:lineRule="auto"/>
              <w:jc w:val="center"/>
              <w:rPr>
                <w:rFonts w:asciiTheme="minorEastAsia" w:hAnsiTheme="minorEastAsia"/>
                <w:color w:val="auto"/>
                <w:sz w:val="24"/>
                <w:szCs w:val="24"/>
                <w:highlight w:val="none"/>
              </w:rPr>
            </w:pPr>
          </w:p>
        </w:tc>
      </w:tr>
      <w:tr w14:paraId="12A2A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286" w:type="dxa"/>
            <w:vMerge w:val="continue"/>
            <w:vAlign w:val="center"/>
          </w:tcPr>
          <w:p w14:paraId="54675407">
            <w:pPr>
              <w:spacing w:line="360" w:lineRule="auto"/>
              <w:jc w:val="center"/>
              <w:rPr>
                <w:rFonts w:asciiTheme="minorEastAsia" w:hAnsiTheme="minorEastAsia"/>
                <w:color w:val="auto"/>
                <w:sz w:val="24"/>
                <w:szCs w:val="24"/>
                <w:highlight w:val="none"/>
              </w:rPr>
            </w:pPr>
          </w:p>
        </w:tc>
        <w:tc>
          <w:tcPr>
            <w:tcW w:w="1661" w:type="dxa"/>
            <w:vAlign w:val="center"/>
          </w:tcPr>
          <w:p w14:paraId="0E0D4D4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2324" w:type="dxa"/>
            <w:vAlign w:val="center"/>
          </w:tcPr>
          <w:p w14:paraId="63F13B85">
            <w:pPr>
              <w:spacing w:line="360" w:lineRule="auto"/>
              <w:jc w:val="center"/>
              <w:rPr>
                <w:rFonts w:asciiTheme="minorEastAsia" w:hAnsiTheme="minorEastAsia"/>
                <w:color w:val="auto"/>
                <w:sz w:val="24"/>
                <w:szCs w:val="24"/>
                <w:highlight w:val="none"/>
              </w:rPr>
            </w:pPr>
          </w:p>
        </w:tc>
        <w:tc>
          <w:tcPr>
            <w:tcW w:w="1661" w:type="dxa"/>
            <w:vAlign w:val="center"/>
          </w:tcPr>
          <w:p w14:paraId="772D8C2D">
            <w:pPr>
              <w:spacing w:line="360" w:lineRule="auto"/>
              <w:jc w:val="center"/>
              <w:rPr>
                <w:rFonts w:asciiTheme="minorEastAsia" w:hAnsiTheme="minorEastAsia"/>
                <w:color w:val="auto"/>
                <w:sz w:val="24"/>
                <w:szCs w:val="24"/>
                <w:highlight w:val="none"/>
              </w:rPr>
            </w:pPr>
          </w:p>
        </w:tc>
        <w:tc>
          <w:tcPr>
            <w:tcW w:w="1902" w:type="dxa"/>
            <w:vAlign w:val="center"/>
          </w:tcPr>
          <w:p w14:paraId="05A1116C">
            <w:pPr>
              <w:spacing w:line="360" w:lineRule="auto"/>
              <w:jc w:val="center"/>
              <w:rPr>
                <w:rFonts w:asciiTheme="minorEastAsia" w:hAnsiTheme="minorEastAsia"/>
                <w:color w:val="auto"/>
                <w:sz w:val="24"/>
                <w:szCs w:val="24"/>
                <w:highlight w:val="none"/>
              </w:rPr>
            </w:pPr>
          </w:p>
        </w:tc>
      </w:tr>
      <w:tr w14:paraId="42683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2A45C2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F2F8594">
            <w:pPr>
              <w:spacing w:line="360" w:lineRule="auto"/>
              <w:jc w:val="center"/>
              <w:rPr>
                <w:rFonts w:asciiTheme="minorEastAsia" w:hAnsiTheme="minorEastAsia"/>
                <w:color w:val="auto"/>
                <w:sz w:val="24"/>
                <w:szCs w:val="24"/>
                <w:highlight w:val="none"/>
              </w:rPr>
            </w:pPr>
          </w:p>
        </w:tc>
        <w:tc>
          <w:tcPr>
            <w:tcW w:w="2324" w:type="dxa"/>
            <w:vAlign w:val="center"/>
          </w:tcPr>
          <w:p w14:paraId="10278E59">
            <w:pPr>
              <w:spacing w:line="360" w:lineRule="auto"/>
              <w:jc w:val="center"/>
              <w:rPr>
                <w:rFonts w:asciiTheme="minorEastAsia" w:hAnsiTheme="minorEastAsia"/>
                <w:color w:val="auto"/>
                <w:sz w:val="24"/>
                <w:szCs w:val="24"/>
                <w:highlight w:val="none"/>
              </w:rPr>
            </w:pPr>
          </w:p>
        </w:tc>
        <w:tc>
          <w:tcPr>
            <w:tcW w:w="1661" w:type="dxa"/>
            <w:vAlign w:val="center"/>
          </w:tcPr>
          <w:p w14:paraId="589C6A46">
            <w:pPr>
              <w:spacing w:line="360" w:lineRule="auto"/>
              <w:jc w:val="center"/>
              <w:rPr>
                <w:rFonts w:asciiTheme="minorEastAsia" w:hAnsiTheme="minorEastAsia"/>
                <w:color w:val="auto"/>
                <w:sz w:val="24"/>
                <w:szCs w:val="24"/>
                <w:highlight w:val="none"/>
              </w:rPr>
            </w:pPr>
          </w:p>
        </w:tc>
        <w:tc>
          <w:tcPr>
            <w:tcW w:w="1902" w:type="dxa"/>
            <w:vAlign w:val="center"/>
          </w:tcPr>
          <w:p w14:paraId="509646B0">
            <w:pPr>
              <w:spacing w:line="360" w:lineRule="auto"/>
              <w:jc w:val="center"/>
              <w:rPr>
                <w:rFonts w:asciiTheme="minorEastAsia" w:hAnsiTheme="minorEastAsia"/>
                <w:color w:val="auto"/>
                <w:sz w:val="24"/>
                <w:szCs w:val="24"/>
                <w:highlight w:val="none"/>
              </w:rPr>
            </w:pPr>
          </w:p>
        </w:tc>
      </w:tr>
    </w:tbl>
    <w:p w14:paraId="7374B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300F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43F4CFE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1.1“技术和服务要求”项下填写的内容应与招标文件第五章“技术和服务要求”的内容保持一致。</w:t>
      </w:r>
    </w:p>
    <w:p w14:paraId="3DA778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B3DC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5ACE3A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EC7C21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3591FDC">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B3F9847">
      <w:pPr>
        <w:rPr>
          <w:color w:val="auto"/>
          <w:highlight w:val="none"/>
        </w:rPr>
      </w:pPr>
    </w:p>
    <w:p w14:paraId="7F88F61C">
      <w:pPr>
        <w:rPr>
          <w:color w:val="auto"/>
          <w:highlight w:val="none"/>
        </w:rPr>
        <w:sectPr>
          <w:pgSz w:w="11906" w:h="16838"/>
          <w:pgMar w:top="1418" w:right="1418" w:bottom="1418" w:left="1418" w:header="851" w:footer="992" w:gutter="0"/>
          <w:cols w:space="425" w:num="1"/>
          <w:docGrid w:type="lines" w:linePitch="312" w:charSpace="0"/>
        </w:sectPr>
      </w:pPr>
    </w:p>
    <w:p w14:paraId="6592172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三、商务条件响应表</w:t>
      </w:r>
    </w:p>
    <w:p w14:paraId="7FB02E4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73FB6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239E3EC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3412E1F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661" w:type="dxa"/>
            <w:vAlign w:val="center"/>
          </w:tcPr>
          <w:p w14:paraId="0E5B8F3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商务条件</w:t>
            </w:r>
          </w:p>
        </w:tc>
        <w:tc>
          <w:tcPr>
            <w:tcW w:w="1661" w:type="dxa"/>
            <w:vAlign w:val="center"/>
          </w:tcPr>
          <w:p w14:paraId="6676BC9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2188" w:type="dxa"/>
            <w:vAlign w:val="center"/>
          </w:tcPr>
          <w:p w14:paraId="6D6F16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07DF3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70FCC74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AC7A13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61" w:type="dxa"/>
            <w:vAlign w:val="center"/>
          </w:tcPr>
          <w:p w14:paraId="0E2C3982">
            <w:pPr>
              <w:spacing w:line="360" w:lineRule="auto"/>
              <w:jc w:val="center"/>
              <w:rPr>
                <w:rFonts w:asciiTheme="minorEastAsia" w:hAnsiTheme="minorEastAsia"/>
                <w:color w:val="auto"/>
                <w:sz w:val="24"/>
                <w:szCs w:val="24"/>
                <w:highlight w:val="none"/>
              </w:rPr>
            </w:pPr>
          </w:p>
        </w:tc>
        <w:tc>
          <w:tcPr>
            <w:tcW w:w="1661" w:type="dxa"/>
            <w:vAlign w:val="center"/>
          </w:tcPr>
          <w:p w14:paraId="51098265">
            <w:pPr>
              <w:spacing w:line="360" w:lineRule="auto"/>
              <w:jc w:val="center"/>
              <w:rPr>
                <w:rFonts w:asciiTheme="minorEastAsia" w:hAnsiTheme="minorEastAsia"/>
                <w:color w:val="auto"/>
                <w:sz w:val="24"/>
                <w:szCs w:val="24"/>
                <w:highlight w:val="none"/>
              </w:rPr>
            </w:pPr>
          </w:p>
        </w:tc>
        <w:tc>
          <w:tcPr>
            <w:tcW w:w="2188" w:type="dxa"/>
            <w:vAlign w:val="center"/>
          </w:tcPr>
          <w:p w14:paraId="4C918D1A">
            <w:pPr>
              <w:spacing w:line="360" w:lineRule="auto"/>
              <w:jc w:val="center"/>
              <w:rPr>
                <w:rFonts w:asciiTheme="minorEastAsia" w:hAnsiTheme="minorEastAsia"/>
                <w:color w:val="auto"/>
                <w:sz w:val="24"/>
                <w:szCs w:val="24"/>
                <w:highlight w:val="none"/>
              </w:rPr>
            </w:pPr>
          </w:p>
        </w:tc>
      </w:tr>
      <w:tr w14:paraId="7353E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1AC63A77">
            <w:pPr>
              <w:spacing w:line="360" w:lineRule="auto"/>
              <w:jc w:val="center"/>
              <w:rPr>
                <w:rFonts w:asciiTheme="minorEastAsia" w:hAnsiTheme="minorEastAsia"/>
                <w:color w:val="auto"/>
                <w:sz w:val="24"/>
                <w:szCs w:val="24"/>
                <w:highlight w:val="none"/>
              </w:rPr>
            </w:pPr>
          </w:p>
        </w:tc>
        <w:tc>
          <w:tcPr>
            <w:tcW w:w="1661" w:type="dxa"/>
            <w:vAlign w:val="center"/>
          </w:tcPr>
          <w:p w14:paraId="2F877CB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2109A873">
            <w:pPr>
              <w:spacing w:line="360" w:lineRule="auto"/>
              <w:jc w:val="center"/>
              <w:rPr>
                <w:rFonts w:asciiTheme="minorEastAsia" w:hAnsiTheme="minorEastAsia"/>
                <w:color w:val="auto"/>
                <w:sz w:val="24"/>
                <w:szCs w:val="24"/>
                <w:highlight w:val="none"/>
              </w:rPr>
            </w:pPr>
          </w:p>
        </w:tc>
        <w:tc>
          <w:tcPr>
            <w:tcW w:w="1661" w:type="dxa"/>
            <w:vAlign w:val="center"/>
          </w:tcPr>
          <w:p w14:paraId="45209FAB">
            <w:pPr>
              <w:spacing w:line="360" w:lineRule="auto"/>
              <w:jc w:val="center"/>
              <w:rPr>
                <w:rFonts w:asciiTheme="minorEastAsia" w:hAnsiTheme="minorEastAsia"/>
                <w:color w:val="auto"/>
                <w:sz w:val="24"/>
                <w:szCs w:val="24"/>
                <w:highlight w:val="none"/>
              </w:rPr>
            </w:pPr>
          </w:p>
        </w:tc>
        <w:tc>
          <w:tcPr>
            <w:tcW w:w="2188" w:type="dxa"/>
            <w:vAlign w:val="center"/>
          </w:tcPr>
          <w:p w14:paraId="04F3FC03">
            <w:pPr>
              <w:spacing w:line="360" w:lineRule="auto"/>
              <w:jc w:val="center"/>
              <w:rPr>
                <w:rFonts w:asciiTheme="minorEastAsia" w:hAnsiTheme="minorEastAsia"/>
                <w:color w:val="auto"/>
                <w:sz w:val="24"/>
                <w:szCs w:val="24"/>
                <w:highlight w:val="none"/>
              </w:rPr>
            </w:pPr>
          </w:p>
        </w:tc>
      </w:tr>
      <w:tr w14:paraId="479C5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3114AAD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3998DFC">
            <w:pPr>
              <w:spacing w:line="360" w:lineRule="auto"/>
              <w:jc w:val="center"/>
              <w:rPr>
                <w:rFonts w:asciiTheme="minorEastAsia" w:hAnsiTheme="minorEastAsia"/>
                <w:color w:val="auto"/>
                <w:sz w:val="24"/>
                <w:szCs w:val="24"/>
                <w:highlight w:val="none"/>
              </w:rPr>
            </w:pPr>
          </w:p>
        </w:tc>
        <w:tc>
          <w:tcPr>
            <w:tcW w:w="1661" w:type="dxa"/>
            <w:vAlign w:val="center"/>
          </w:tcPr>
          <w:p w14:paraId="119C6689">
            <w:pPr>
              <w:spacing w:line="360" w:lineRule="auto"/>
              <w:jc w:val="center"/>
              <w:rPr>
                <w:rFonts w:asciiTheme="minorEastAsia" w:hAnsiTheme="minorEastAsia"/>
                <w:color w:val="auto"/>
                <w:sz w:val="24"/>
                <w:szCs w:val="24"/>
                <w:highlight w:val="none"/>
              </w:rPr>
            </w:pPr>
          </w:p>
        </w:tc>
        <w:tc>
          <w:tcPr>
            <w:tcW w:w="1661" w:type="dxa"/>
            <w:vAlign w:val="center"/>
          </w:tcPr>
          <w:p w14:paraId="3844349E">
            <w:pPr>
              <w:spacing w:line="360" w:lineRule="auto"/>
              <w:jc w:val="center"/>
              <w:rPr>
                <w:rFonts w:asciiTheme="minorEastAsia" w:hAnsiTheme="minorEastAsia"/>
                <w:color w:val="auto"/>
                <w:sz w:val="24"/>
                <w:szCs w:val="24"/>
                <w:highlight w:val="none"/>
              </w:rPr>
            </w:pPr>
          </w:p>
        </w:tc>
        <w:tc>
          <w:tcPr>
            <w:tcW w:w="2188" w:type="dxa"/>
            <w:vAlign w:val="center"/>
          </w:tcPr>
          <w:p w14:paraId="4F7CA433">
            <w:pPr>
              <w:spacing w:line="360" w:lineRule="auto"/>
              <w:jc w:val="center"/>
              <w:rPr>
                <w:rFonts w:asciiTheme="minorEastAsia" w:hAnsiTheme="minorEastAsia"/>
                <w:color w:val="auto"/>
                <w:sz w:val="24"/>
                <w:szCs w:val="24"/>
                <w:highlight w:val="none"/>
              </w:rPr>
            </w:pPr>
          </w:p>
        </w:tc>
      </w:tr>
    </w:tbl>
    <w:p w14:paraId="593D4F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7252A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57EBAE3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1.1“商务条件”项下填写的内容应与招标文件第五章“商务条件”的内容保持一致。</w:t>
      </w:r>
    </w:p>
    <w:p w14:paraId="28839E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56ACC0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272ED02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ED665E2">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7B8BCBD">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2F8E644">
      <w:pPr>
        <w:rPr>
          <w:color w:val="auto"/>
          <w:highlight w:val="none"/>
        </w:rPr>
      </w:pPr>
    </w:p>
    <w:p w14:paraId="6FE7E2C9">
      <w:pPr>
        <w:rPr>
          <w:color w:val="auto"/>
          <w:highlight w:val="none"/>
        </w:rPr>
        <w:sectPr>
          <w:pgSz w:w="11906" w:h="16838"/>
          <w:pgMar w:top="1418" w:right="1418" w:bottom="1418" w:left="1418" w:header="851" w:footer="992" w:gutter="0"/>
          <w:cols w:space="425" w:num="1"/>
          <w:docGrid w:type="lines" w:linePitch="312" w:charSpace="0"/>
        </w:sectPr>
      </w:pPr>
    </w:p>
    <w:p w14:paraId="2582DFE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四、投标人提交的其他资料（若有）</w:t>
      </w:r>
    </w:p>
    <w:p w14:paraId="57B14E5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3E3E4C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1、招标文件要求提交的除“资格及资信证明部分”、“报价部分”外的其他证明材料或资料加盖投标人的单位公章后应在此项下提交。</w:t>
      </w:r>
    </w:p>
    <w:p w14:paraId="007A3C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2、招标文件要求投标人提供方案（包括但不限于：组织、实施、技术、服务方案等）的，投标人应在此项下提交。</w:t>
      </w:r>
    </w:p>
    <w:p w14:paraId="7B7832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3、除招标文件另有规定外，投标人认为需要提交的其他证明材料或资料加盖投标人的单位公章后应在此项下提交。</w:t>
      </w:r>
    </w:p>
    <w:p w14:paraId="752C7F50">
      <w:pPr>
        <w:rPr>
          <w:color w:val="auto"/>
          <w:highlight w:val="none"/>
        </w:rPr>
      </w:pPr>
    </w:p>
    <w:p w14:paraId="702BC964">
      <w:pPr>
        <w:rPr>
          <w:color w:val="auto"/>
          <w:highlight w:val="none"/>
        </w:rPr>
      </w:pPr>
    </w:p>
    <w:p w14:paraId="7F8D22CE">
      <w:pPr>
        <w:rPr>
          <w:color w:val="auto"/>
          <w:highlight w:val="none"/>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C550">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41</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113</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075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113</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66F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42</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0AAD7"/>
    <w:multiLevelType w:val="singleLevel"/>
    <w:tmpl w:val="CEB0AAD7"/>
    <w:lvl w:ilvl="0" w:tentative="0">
      <w:start w:val="1"/>
      <w:numFmt w:val="decimal"/>
      <w:suff w:val="nothing"/>
      <w:lvlText w:val="1-%1."/>
      <w:lvlJc w:val="left"/>
      <w:pPr>
        <w:ind w:left="0" w:leftChars="0" w:firstLine="0" w:firstLineChars="0"/>
      </w:pPr>
      <w:rPr>
        <w:rFonts w:hint="default"/>
      </w:rPr>
    </w:lvl>
  </w:abstractNum>
  <w:abstractNum w:abstractNumId="1">
    <w:nsid w:val="E860AF08"/>
    <w:multiLevelType w:val="multilevel"/>
    <w:tmpl w:val="E860AF08"/>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b w:val="0"/>
        <w:bCs w:val="0"/>
        <w:sz w:val="24"/>
        <w:szCs w:val="24"/>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suff w:val="nothing"/>
      <w:lvlText w:val="%1.%2.%3.%4.%5."/>
      <w:lvlJc w:val="left"/>
      <w:pPr>
        <w:ind w:left="0" w:leftChars="0" w:firstLine="1276" w:firstLineChars="0"/>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1CEA"/>
    <w:rsid w:val="000527EB"/>
    <w:rsid w:val="00053367"/>
    <w:rsid w:val="00056AEA"/>
    <w:rsid w:val="0006129C"/>
    <w:rsid w:val="00061623"/>
    <w:rsid w:val="00063D22"/>
    <w:rsid w:val="00064733"/>
    <w:rsid w:val="0006512B"/>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46B1"/>
    <w:rsid w:val="0009610C"/>
    <w:rsid w:val="000A046A"/>
    <w:rsid w:val="000A0ADD"/>
    <w:rsid w:val="000A11D6"/>
    <w:rsid w:val="000A48A9"/>
    <w:rsid w:val="000A55A2"/>
    <w:rsid w:val="000A5765"/>
    <w:rsid w:val="000B2B9A"/>
    <w:rsid w:val="000B4699"/>
    <w:rsid w:val="000B4C68"/>
    <w:rsid w:val="000B518F"/>
    <w:rsid w:val="000B5263"/>
    <w:rsid w:val="000B67E3"/>
    <w:rsid w:val="000C1368"/>
    <w:rsid w:val="000C1704"/>
    <w:rsid w:val="000C4E1F"/>
    <w:rsid w:val="000D1041"/>
    <w:rsid w:val="000D1BCF"/>
    <w:rsid w:val="000D2697"/>
    <w:rsid w:val="000D2C05"/>
    <w:rsid w:val="000D3266"/>
    <w:rsid w:val="000D39C4"/>
    <w:rsid w:val="000D52A1"/>
    <w:rsid w:val="000D5604"/>
    <w:rsid w:val="000D5AE8"/>
    <w:rsid w:val="000E1F7E"/>
    <w:rsid w:val="000E7943"/>
    <w:rsid w:val="000F69F7"/>
    <w:rsid w:val="000F6D4D"/>
    <w:rsid w:val="0010152C"/>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2854"/>
    <w:rsid w:val="001366CA"/>
    <w:rsid w:val="00140F13"/>
    <w:rsid w:val="00142BED"/>
    <w:rsid w:val="00143667"/>
    <w:rsid w:val="001507B7"/>
    <w:rsid w:val="00152B00"/>
    <w:rsid w:val="001532C3"/>
    <w:rsid w:val="001570CA"/>
    <w:rsid w:val="00157575"/>
    <w:rsid w:val="00161CBA"/>
    <w:rsid w:val="00161EE4"/>
    <w:rsid w:val="00170E34"/>
    <w:rsid w:val="00170E42"/>
    <w:rsid w:val="0017303F"/>
    <w:rsid w:val="00173B94"/>
    <w:rsid w:val="00174F71"/>
    <w:rsid w:val="001754E5"/>
    <w:rsid w:val="001761B6"/>
    <w:rsid w:val="00177269"/>
    <w:rsid w:val="001779DC"/>
    <w:rsid w:val="00177A46"/>
    <w:rsid w:val="00177D07"/>
    <w:rsid w:val="00183A0C"/>
    <w:rsid w:val="00183BA3"/>
    <w:rsid w:val="00185564"/>
    <w:rsid w:val="00185721"/>
    <w:rsid w:val="00186F97"/>
    <w:rsid w:val="00190545"/>
    <w:rsid w:val="00191DAD"/>
    <w:rsid w:val="001944B2"/>
    <w:rsid w:val="0019641C"/>
    <w:rsid w:val="001969A6"/>
    <w:rsid w:val="00196B6A"/>
    <w:rsid w:val="00197051"/>
    <w:rsid w:val="001A0E82"/>
    <w:rsid w:val="001A0FFC"/>
    <w:rsid w:val="001A26B3"/>
    <w:rsid w:val="001A3E78"/>
    <w:rsid w:val="001A54F3"/>
    <w:rsid w:val="001A736A"/>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2D71"/>
    <w:rsid w:val="002035B5"/>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12F1"/>
    <w:rsid w:val="00283DDB"/>
    <w:rsid w:val="00283EC7"/>
    <w:rsid w:val="0028505F"/>
    <w:rsid w:val="00285CCF"/>
    <w:rsid w:val="0028674D"/>
    <w:rsid w:val="0029008A"/>
    <w:rsid w:val="00291F2D"/>
    <w:rsid w:val="00292018"/>
    <w:rsid w:val="00293239"/>
    <w:rsid w:val="00297900"/>
    <w:rsid w:val="002A0F68"/>
    <w:rsid w:val="002A2A10"/>
    <w:rsid w:val="002A4F5E"/>
    <w:rsid w:val="002A56C1"/>
    <w:rsid w:val="002A6A3B"/>
    <w:rsid w:val="002B00D6"/>
    <w:rsid w:val="002B1D56"/>
    <w:rsid w:val="002B1DE9"/>
    <w:rsid w:val="002B32E8"/>
    <w:rsid w:val="002B38AF"/>
    <w:rsid w:val="002B53E1"/>
    <w:rsid w:val="002B5FE5"/>
    <w:rsid w:val="002C1993"/>
    <w:rsid w:val="002C1A77"/>
    <w:rsid w:val="002C1C56"/>
    <w:rsid w:val="002C3DC5"/>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A73"/>
    <w:rsid w:val="00307C04"/>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1EF6"/>
    <w:rsid w:val="003520F3"/>
    <w:rsid w:val="00352533"/>
    <w:rsid w:val="00352DEF"/>
    <w:rsid w:val="003537A4"/>
    <w:rsid w:val="00355656"/>
    <w:rsid w:val="003602F2"/>
    <w:rsid w:val="00362BA5"/>
    <w:rsid w:val="003653F3"/>
    <w:rsid w:val="00366786"/>
    <w:rsid w:val="0037424B"/>
    <w:rsid w:val="00375FA4"/>
    <w:rsid w:val="00381372"/>
    <w:rsid w:val="00381C3C"/>
    <w:rsid w:val="00385AE6"/>
    <w:rsid w:val="003864A5"/>
    <w:rsid w:val="00387647"/>
    <w:rsid w:val="00387CEE"/>
    <w:rsid w:val="00391832"/>
    <w:rsid w:val="00397AC7"/>
    <w:rsid w:val="003A06BD"/>
    <w:rsid w:val="003A0E8B"/>
    <w:rsid w:val="003A2BF5"/>
    <w:rsid w:val="003A4168"/>
    <w:rsid w:val="003A5632"/>
    <w:rsid w:val="003B29EB"/>
    <w:rsid w:val="003B2F7A"/>
    <w:rsid w:val="003B6D97"/>
    <w:rsid w:val="003B6E05"/>
    <w:rsid w:val="003B78F6"/>
    <w:rsid w:val="003C042E"/>
    <w:rsid w:val="003C51EB"/>
    <w:rsid w:val="003C6121"/>
    <w:rsid w:val="003C66E4"/>
    <w:rsid w:val="003C7873"/>
    <w:rsid w:val="003D101F"/>
    <w:rsid w:val="003D255E"/>
    <w:rsid w:val="003D4F2E"/>
    <w:rsid w:val="003D5286"/>
    <w:rsid w:val="003D6ECE"/>
    <w:rsid w:val="003E00EF"/>
    <w:rsid w:val="003E0F35"/>
    <w:rsid w:val="003E1B58"/>
    <w:rsid w:val="003E1B8E"/>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20C"/>
    <w:rsid w:val="00477571"/>
    <w:rsid w:val="004775FD"/>
    <w:rsid w:val="00481A28"/>
    <w:rsid w:val="00482190"/>
    <w:rsid w:val="004836EE"/>
    <w:rsid w:val="00484D04"/>
    <w:rsid w:val="004855C1"/>
    <w:rsid w:val="004862EF"/>
    <w:rsid w:val="004913DC"/>
    <w:rsid w:val="004914E2"/>
    <w:rsid w:val="0049472B"/>
    <w:rsid w:val="00494DC2"/>
    <w:rsid w:val="00496BBA"/>
    <w:rsid w:val="004976A8"/>
    <w:rsid w:val="004A56F8"/>
    <w:rsid w:val="004A6AB8"/>
    <w:rsid w:val="004B01AD"/>
    <w:rsid w:val="004B150B"/>
    <w:rsid w:val="004B3435"/>
    <w:rsid w:val="004B5468"/>
    <w:rsid w:val="004B6D62"/>
    <w:rsid w:val="004B771E"/>
    <w:rsid w:val="004C1CC7"/>
    <w:rsid w:val="004C3A90"/>
    <w:rsid w:val="004C4A5F"/>
    <w:rsid w:val="004C71F1"/>
    <w:rsid w:val="004D0AEF"/>
    <w:rsid w:val="004D0DB0"/>
    <w:rsid w:val="004D20EB"/>
    <w:rsid w:val="004E2617"/>
    <w:rsid w:val="004E5994"/>
    <w:rsid w:val="004F44A5"/>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160D"/>
    <w:rsid w:val="00573F4D"/>
    <w:rsid w:val="00574179"/>
    <w:rsid w:val="00575AA1"/>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42BC"/>
    <w:rsid w:val="005B479C"/>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37C5"/>
    <w:rsid w:val="00614DFA"/>
    <w:rsid w:val="00616D4D"/>
    <w:rsid w:val="0062091D"/>
    <w:rsid w:val="00625609"/>
    <w:rsid w:val="006265E9"/>
    <w:rsid w:val="006267EA"/>
    <w:rsid w:val="00627AC2"/>
    <w:rsid w:val="00630033"/>
    <w:rsid w:val="00631867"/>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137A"/>
    <w:rsid w:val="0068242C"/>
    <w:rsid w:val="006845A8"/>
    <w:rsid w:val="00684E30"/>
    <w:rsid w:val="00687853"/>
    <w:rsid w:val="00690130"/>
    <w:rsid w:val="0069088F"/>
    <w:rsid w:val="00692BC0"/>
    <w:rsid w:val="00692C82"/>
    <w:rsid w:val="00693856"/>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133B"/>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0517"/>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371"/>
    <w:rsid w:val="008264CA"/>
    <w:rsid w:val="00831CF7"/>
    <w:rsid w:val="00831E72"/>
    <w:rsid w:val="00837727"/>
    <w:rsid w:val="00837B77"/>
    <w:rsid w:val="008438D9"/>
    <w:rsid w:val="00844BD0"/>
    <w:rsid w:val="00845004"/>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16B2"/>
    <w:rsid w:val="00866A7F"/>
    <w:rsid w:val="0087128A"/>
    <w:rsid w:val="0087426A"/>
    <w:rsid w:val="00875C20"/>
    <w:rsid w:val="0087633E"/>
    <w:rsid w:val="008843DA"/>
    <w:rsid w:val="008847DD"/>
    <w:rsid w:val="0088641D"/>
    <w:rsid w:val="00886A12"/>
    <w:rsid w:val="00890C16"/>
    <w:rsid w:val="00891EB6"/>
    <w:rsid w:val="0089671D"/>
    <w:rsid w:val="008976D3"/>
    <w:rsid w:val="008A0E2C"/>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07787"/>
    <w:rsid w:val="00915D32"/>
    <w:rsid w:val="009160F0"/>
    <w:rsid w:val="00916636"/>
    <w:rsid w:val="00923DA0"/>
    <w:rsid w:val="00925C01"/>
    <w:rsid w:val="0092652D"/>
    <w:rsid w:val="00927220"/>
    <w:rsid w:val="009307DD"/>
    <w:rsid w:val="00935232"/>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C83"/>
    <w:rsid w:val="0097370A"/>
    <w:rsid w:val="0097472C"/>
    <w:rsid w:val="009756D9"/>
    <w:rsid w:val="009767A2"/>
    <w:rsid w:val="00976E29"/>
    <w:rsid w:val="0098037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4F4F"/>
    <w:rsid w:val="009A51CE"/>
    <w:rsid w:val="009A66D4"/>
    <w:rsid w:val="009A7173"/>
    <w:rsid w:val="009A7753"/>
    <w:rsid w:val="009B1BFD"/>
    <w:rsid w:val="009B3EC0"/>
    <w:rsid w:val="009B49EA"/>
    <w:rsid w:val="009B50C1"/>
    <w:rsid w:val="009B79C7"/>
    <w:rsid w:val="009C03B6"/>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2A47"/>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47ADA"/>
    <w:rsid w:val="00A5086F"/>
    <w:rsid w:val="00A508A1"/>
    <w:rsid w:val="00A51993"/>
    <w:rsid w:val="00A53EB8"/>
    <w:rsid w:val="00A54501"/>
    <w:rsid w:val="00A54709"/>
    <w:rsid w:val="00A555DE"/>
    <w:rsid w:val="00A55B65"/>
    <w:rsid w:val="00A56005"/>
    <w:rsid w:val="00A62299"/>
    <w:rsid w:val="00A64D15"/>
    <w:rsid w:val="00A64FEE"/>
    <w:rsid w:val="00A657F6"/>
    <w:rsid w:val="00A6635C"/>
    <w:rsid w:val="00A710BC"/>
    <w:rsid w:val="00A74DC1"/>
    <w:rsid w:val="00A755EC"/>
    <w:rsid w:val="00A77C8F"/>
    <w:rsid w:val="00A82658"/>
    <w:rsid w:val="00A82919"/>
    <w:rsid w:val="00A835DD"/>
    <w:rsid w:val="00A8479D"/>
    <w:rsid w:val="00A84FA5"/>
    <w:rsid w:val="00A87BD8"/>
    <w:rsid w:val="00A9170A"/>
    <w:rsid w:val="00A97623"/>
    <w:rsid w:val="00AA08C6"/>
    <w:rsid w:val="00AA1DEE"/>
    <w:rsid w:val="00AA1E37"/>
    <w:rsid w:val="00AA4759"/>
    <w:rsid w:val="00AA579F"/>
    <w:rsid w:val="00AA72D0"/>
    <w:rsid w:val="00AC0199"/>
    <w:rsid w:val="00AC4249"/>
    <w:rsid w:val="00AD2807"/>
    <w:rsid w:val="00AD42F0"/>
    <w:rsid w:val="00AD4798"/>
    <w:rsid w:val="00AD4A8D"/>
    <w:rsid w:val="00AD6AD5"/>
    <w:rsid w:val="00AE0239"/>
    <w:rsid w:val="00AE077D"/>
    <w:rsid w:val="00AE0D02"/>
    <w:rsid w:val="00AE5E5C"/>
    <w:rsid w:val="00AE6033"/>
    <w:rsid w:val="00AF0F34"/>
    <w:rsid w:val="00AF2AAA"/>
    <w:rsid w:val="00AF2ED8"/>
    <w:rsid w:val="00AF3654"/>
    <w:rsid w:val="00AF3D2C"/>
    <w:rsid w:val="00AF4166"/>
    <w:rsid w:val="00AF41A8"/>
    <w:rsid w:val="00AF48AC"/>
    <w:rsid w:val="00AF48BD"/>
    <w:rsid w:val="00AF5959"/>
    <w:rsid w:val="00AF5C93"/>
    <w:rsid w:val="00AF740A"/>
    <w:rsid w:val="00B0084A"/>
    <w:rsid w:val="00B021C3"/>
    <w:rsid w:val="00B05548"/>
    <w:rsid w:val="00B1611E"/>
    <w:rsid w:val="00B17DC4"/>
    <w:rsid w:val="00B212E3"/>
    <w:rsid w:val="00B22232"/>
    <w:rsid w:val="00B22CA8"/>
    <w:rsid w:val="00B231AF"/>
    <w:rsid w:val="00B26CC9"/>
    <w:rsid w:val="00B27516"/>
    <w:rsid w:val="00B27EC7"/>
    <w:rsid w:val="00B307F5"/>
    <w:rsid w:val="00B32CA1"/>
    <w:rsid w:val="00B33C3C"/>
    <w:rsid w:val="00B34AA5"/>
    <w:rsid w:val="00B34F55"/>
    <w:rsid w:val="00B3590D"/>
    <w:rsid w:val="00B424C7"/>
    <w:rsid w:val="00B43E86"/>
    <w:rsid w:val="00B44474"/>
    <w:rsid w:val="00B4472C"/>
    <w:rsid w:val="00B451B5"/>
    <w:rsid w:val="00B475E4"/>
    <w:rsid w:val="00B51215"/>
    <w:rsid w:val="00B538AB"/>
    <w:rsid w:val="00B5611E"/>
    <w:rsid w:val="00B56960"/>
    <w:rsid w:val="00B60A7D"/>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058"/>
    <w:rsid w:val="00BC17F2"/>
    <w:rsid w:val="00BC2123"/>
    <w:rsid w:val="00BC3383"/>
    <w:rsid w:val="00BD12DE"/>
    <w:rsid w:val="00BD4D15"/>
    <w:rsid w:val="00BD5623"/>
    <w:rsid w:val="00BD6FEB"/>
    <w:rsid w:val="00BD7484"/>
    <w:rsid w:val="00BE0091"/>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07730"/>
    <w:rsid w:val="00C1665B"/>
    <w:rsid w:val="00C1721E"/>
    <w:rsid w:val="00C174C3"/>
    <w:rsid w:val="00C178D0"/>
    <w:rsid w:val="00C2042E"/>
    <w:rsid w:val="00C21466"/>
    <w:rsid w:val="00C21900"/>
    <w:rsid w:val="00C25166"/>
    <w:rsid w:val="00C251D6"/>
    <w:rsid w:val="00C2652E"/>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6369"/>
    <w:rsid w:val="00C7763E"/>
    <w:rsid w:val="00C820F3"/>
    <w:rsid w:val="00C828AC"/>
    <w:rsid w:val="00C8354B"/>
    <w:rsid w:val="00C8369C"/>
    <w:rsid w:val="00C85665"/>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3021"/>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3A2C"/>
    <w:rsid w:val="00D35457"/>
    <w:rsid w:val="00D36951"/>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6028"/>
    <w:rsid w:val="00D8734E"/>
    <w:rsid w:val="00D906FC"/>
    <w:rsid w:val="00D91013"/>
    <w:rsid w:val="00D91124"/>
    <w:rsid w:val="00D91990"/>
    <w:rsid w:val="00D94E14"/>
    <w:rsid w:val="00D966FA"/>
    <w:rsid w:val="00DA0B8A"/>
    <w:rsid w:val="00DA3D04"/>
    <w:rsid w:val="00DA4F3F"/>
    <w:rsid w:val="00DA5A08"/>
    <w:rsid w:val="00DA5B11"/>
    <w:rsid w:val="00DA5E8C"/>
    <w:rsid w:val="00DA5F86"/>
    <w:rsid w:val="00DA73F4"/>
    <w:rsid w:val="00DB078C"/>
    <w:rsid w:val="00DB132B"/>
    <w:rsid w:val="00DB2FE1"/>
    <w:rsid w:val="00DB3722"/>
    <w:rsid w:val="00DB407B"/>
    <w:rsid w:val="00DC044D"/>
    <w:rsid w:val="00DC495E"/>
    <w:rsid w:val="00DC7F81"/>
    <w:rsid w:val="00DD10E4"/>
    <w:rsid w:val="00DD16C1"/>
    <w:rsid w:val="00DD2A3B"/>
    <w:rsid w:val="00DD4D7D"/>
    <w:rsid w:val="00DD608B"/>
    <w:rsid w:val="00DD712C"/>
    <w:rsid w:val="00DD7DD0"/>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6CE9"/>
    <w:rsid w:val="00E47C9E"/>
    <w:rsid w:val="00E50520"/>
    <w:rsid w:val="00E532F5"/>
    <w:rsid w:val="00E54268"/>
    <w:rsid w:val="00E55B67"/>
    <w:rsid w:val="00E614CC"/>
    <w:rsid w:val="00E65A9C"/>
    <w:rsid w:val="00E704A3"/>
    <w:rsid w:val="00E70737"/>
    <w:rsid w:val="00E719F0"/>
    <w:rsid w:val="00E73179"/>
    <w:rsid w:val="00E738D6"/>
    <w:rsid w:val="00E74170"/>
    <w:rsid w:val="00E74FA4"/>
    <w:rsid w:val="00E76B78"/>
    <w:rsid w:val="00E776A0"/>
    <w:rsid w:val="00E776ED"/>
    <w:rsid w:val="00E77B95"/>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A6A06"/>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5878"/>
    <w:rsid w:val="00ED7AD0"/>
    <w:rsid w:val="00EE0A27"/>
    <w:rsid w:val="00EE0FA6"/>
    <w:rsid w:val="00EE285F"/>
    <w:rsid w:val="00EE2A12"/>
    <w:rsid w:val="00EE2CC8"/>
    <w:rsid w:val="00EE34FA"/>
    <w:rsid w:val="00EE51FF"/>
    <w:rsid w:val="00EF12FE"/>
    <w:rsid w:val="00EF2539"/>
    <w:rsid w:val="00EF290F"/>
    <w:rsid w:val="00EF4566"/>
    <w:rsid w:val="00EF4613"/>
    <w:rsid w:val="00EF4697"/>
    <w:rsid w:val="00EF4C04"/>
    <w:rsid w:val="00EF5A8C"/>
    <w:rsid w:val="00F009B8"/>
    <w:rsid w:val="00F00C3F"/>
    <w:rsid w:val="00F04611"/>
    <w:rsid w:val="00F04D73"/>
    <w:rsid w:val="00F06BEF"/>
    <w:rsid w:val="00F07B6F"/>
    <w:rsid w:val="00F07C40"/>
    <w:rsid w:val="00F1377B"/>
    <w:rsid w:val="00F1680A"/>
    <w:rsid w:val="00F16DC8"/>
    <w:rsid w:val="00F21170"/>
    <w:rsid w:val="00F21D30"/>
    <w:rsid w:val="00F22B1A"/>
    <w:rsid w:val="00F23B09"/>
    <w:rsid w:val="00F24FAF"/>
    <w:rsid w:val="00F25037"/>
    <w:rsid w:val="00F25836"/>
    <w:rsid w:val="00F26827"/>
    <w:rsid w:val="00F27441"/>
    <w:rsid w:val="00F30291"/>
    <w:rsid w:val="00F3110B"/>
    <w:rsid w:val="00F349B3"/>
    <w:rsid w:val="00F34B46"/>
    <w:rsid w:val="00F34E7F"/>
    <w:rsid w:val="00F3561B"/>
    <w:rsid w:val="00F409C9"/>
    <w:rsid w:val="00F4149C"/>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517F"/>
    <w:rsid w:val="00F9638F"/>
    <w:rsid w:val="00FA0609"/>
    <w:rsid w:val="00FA14AA"/>
    <w:rsid w:val="00FA2341"/>
    <w:rsid w:val="00FA28DB"/>
    <w:rsid w:val="00FA30E3"/>
    <w:rsid w:val="00FA5935"/>
    <w:rsid w:val="00FA651C"/>
    <w:rsid w:val="00FA6564"/>
    <w:rsid w:val="00FA7A00"/>
    <w:rsid w:val="00FA7D17"/>
    <w:rsid w:val="00FB1F5D"/>
    <w:rsid w:val="00FB2737"/>
    <w:rsid w:val="00FB2CAD"/>
    <w:rsid w:val="00FB2D48"/>
    <w:rsid w:val="00FB4527"/>
    <w:rsid w:val="00FB4DA7"/>
    <w:rsid w:val="00FB564A"/>
    <w:rsid w:val="00FB62F5"/>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374E54"/>
    <w:rsid w:val="01480B04"/>
    <w:rsid w:val="014B025A"/>
    <w:rsid w:val="01630F53"/>
    <w:rsid w:val="01D46B46"/>
    <w:rsid w:val="02445A7A"/>
    <w:rsid w:val="02BA21E0"/>
    <w:rsid w:val="02C92423"/>
    <w:rsid w:val="02FA438B"/>
    <w:rsid w:val="03045253"/>
    <w:rsid w:val="034D4E02"/>
    <w:rsid w:val="039E2B66"/>
    <w:rsid w:val="042E69E2"/>
    <w:rsid w:val="044004C3"/>
    <w:rsid w:val="04675A50"/>
    <w:rsid w:val="047D00F2"/>
    <w:rsid w:val="047D7712"/>
    <w:rsid w:val="04A05A4C"/>
    <w:rsid w:val="04EB042F"/>
    <w:rsid w:val="052E47BF"/>
    <w:rsid w:val="05681A7F"/>
    <w:rsid w:val="05B178CA"/>
    <w:rsid w:val="05EA4B8A"/>
    <w:rsid w:val="062C0CFF"/>
    <w:rsid w:val="06EC66E0"/>
    <w:rsid w:val="06F96E6D"/>
    <w:rsid w:val="06FB1747"/>
    <w:rsid w:val="07EB0BE6"/>
    <w:rsid w:val="07F7358F"/>
    <w:rsid w:val="08142C62"/>
    <w:rsid w:val="086C5D2B"/>
    <w:rsid w:val="0881185D"/>
    <w:rsid w:val="08B76982"/>
    <w:rsid w:val="09297778"/>
    <w:rsid w:val="09F401A6"/>
    <w:rsid w:val="0A0855DF"/>
    <w:rsid w:val="0A326B00"/>
    <w:rsid w:val="0A56459C"/>
    <w:rsid w:val="0A682522"/>
    <w:rsid w:val="0A977223"/>
    <w:rsid w:val="0AC02050"/>
    <w:rsid w:val="0ADD670E"/>
    <w:rsid w:val="0B04049C"/>
    <w:rsid w:val="0B0A5387"/>
    <w:rsid w:val="0C266F7B"/>
    <w:rsid w:val="0C960330"/>
    <w:rsid w:val="0CF404A7"/>
    <w:rsid w:val="0D1E3C19"/>
    <w:rsid w:val="0DC91529"/>
    <w:rsid w:val="0E707BF7"/>
    <w:rsid w:val="0E981627"/>
    <w:rsid w:val="0EC94824"/>
    <w:rsid w:val="0ECF2B6F"/>
    <w:rsid w:val="0F563291"/>
    <w:rsid w:val="0F76748F"/>
    <w:rsid w:val="114307AB"/>
    <w:rsid w:val="130A061A"/>
    <w:rsid w:val="1319085D"/>
    <w:rsid w:val="1356385F"/>
    <w:rsid w:val="136418C0"/>
    <w:rsid w:val="13BD743A"/>
    <w:rsid w:val="13CB5FFB"/>
    <w:rsid w:val="13CC3B21"/>
    <w:rsid w:val="14447B5C"/>
    <w:rsid w:val="145E0C1D"/>
    <w:rsid w:val="147541B9"/>
    <w:rsid w:val="153232F6"/>
    <w:rsid w:val="1585667E"/>
    <w:rsid w:val="15950A2F"/>
    <w:rsid w:val="15EE5FD1"/>
    <w:rsid w:val="16331C36"/>
    <w:rsid w:val="163D4F1E"/>
    <w:rsid w:val="1642631D"/>
    <w:rsid w:val="167E55A7"/>
    <w:rsid w:val="168E3310"/>
    <w:rsid w:val="1794583D"/>
    <w:rsid w:val="1804388A"/>
    <w:rsid w:val="18196819"/>
    <w:rsid w:val="183879D7"/>
    <w:rsid w:val="190E24E6"/>
    <w:rsid w:val="192D0BBE"/>
    <w:rsid w:val="1981715C"/>
    <w:rsid w:val="1B0D6EF9"/>
    <w:rsid w:val="1B7E3953"/>
    <w:rsid w:val="1BD9327F"/>
    <w:rsid w:val="1C6F14EE"/>
    <w:rsid w:val="1D6F3E9B"/>
    <w:rsid w:val="1DB573D4"/>
    <w:rsid w:val="1E4D585F"/>
    <w:rsid w:val="1EDE7E53"/>
    <w:rsid w:val="1F3F33F9"/>
    <w:rsid w:val="1FD004F5"/>
    <w:rsid w:val="20030C8A"/>
    <w:rsid w:val="20043C15"/>
    <w:rsid w:val="204333BD"/>
    <w:rsid w:val="20D504B9"/>
    <w:rsid w:val="20FF50BF"/>
    <w:rsid w:val="21627873"/>
    <w:rsid w:val="216E3B1F"/>
    <w:rsid w:val="217E134C"/>
    <w:rsid w:val="21C612F9"/>
    <w:rsid w:val="21F26E49"/>
    <w:rsid w:val="2217240B"/>
    <w:rsid w:val="22AB0264"/>
    <w:rsid w:val="23EB3B87"/>
    <w:rsid w:val="246B6A3F"/>
    <w:rsid w:val="24A0493A"/>
    <w:rsid w:val="25252501"/>
    <w:rsid w:val="255B6AB3"/>
    <w:rsid w:val="259721E1"/>
    <w:rsid w:val="25F27CC9"/>
    <w:rsid w:val="262A09E4"/>
    <w:rsid w:val="263A2B6C"/>
    <w:rsid w:val="26775B6F"/>
    <w:rsid w:val="26DE4A87"/>
    <w:rsid w:val="283261F1"/>
    <w:rsid w:val="288602EB"/>
    <w:rsid w:val="28F32B26"/>
    <w:rsid w:val="29EE7EF6"/>
    <w:rsid w:val="2A005E7B"/>
    <w:rsid w:val="2B253DEB"/>
    <w:rsid w:val="2B807273"/>
    <w:rsid w:val="2BFF50A1"/>
    <w:rsid w:val="2CAD5E46"/>
    <w:rsid w:val="2CC47634"/>
    <w:rsid w:val="2CD86C3B"/>
    <w:rsid w:val="2CE42807"/>
    <w:rsid w:val="2CF77A09"/>
    <w:rsid w:val="2D1759B5"/>
    <w:rsid w:val="2D776454"/>
    <w:rsid w:val="2DAA682A"/>
    <w:rsid w:val="2DD6761F"/>
    <w:rsid w:val="2E1F0FC6"/>
    <w:rsid w:val="2E5073D1"/>
    <w:rsid w:val="2EEE0998"/>
    <w:rsid w:val="2F9257C7"/>
    <w:rsid w:val="2FEA5F52"/>
    <w:rsid w:val="300264A9"/>
    <w:rsid w:val="30A752A2"/>
    <w:rsid w:val="30CE282F"/>
    <w:rsid w:val="31837ABD"/>
    <w:rsid w:val="31C37EBA"/>
    <w:rsid w:val="31DE2F46"/>
    <w:rsid w:val="328E194F"/>
    <w:rsid w:val="32C4213C"/>
    <w:rsid w:val="32E4633A"/>
    <w:rsid w:val="32EC3440"/>
    <w:rsid w:val="33114C55"/>
    <w:rsid w:val="33394157"/>
    <w:rsid w:val="337C47C4"/>
    <w:rsid w:val="34311A53"/>
    <w:rsid w:val="344D210B"/>
    <w:rsid w:val="348B0970"/>
    <w:rsid w:val="35FF348B"/>
    <w:rsid w:val="3632560E"/>
    <w:rsid w:val="36B349A1"/>
    <w:rsid w:val="36B97ADD"/>
    <w:rsid w:val="36D2734C"/>
    <w:rsid w:val="371F3DE4"/>
    <w:rsid w:val="372834EA"/>
    <w:rsid w:val="376C5661"/>
    <w:rsid w:val="37932C7C"/>
    <w:rsid w:val="381F44BF"/>
    <w:rsid w:val="395835DE"/>
    <w:rsid w:val="3A033549"/>
    <w:rsid w:val="3A0D261A"/>
    <w:rsid w:val="3A43428E"/>
    <w:rsid w:val="3A8D388F"/>
    <w:rsid w:val="3AD273C0"/>
    <w:rsid w:val="3B135A0E"/>
    <w:rsid w:val="3B16534F"/>
    <w:rsid w:val="3B525E2C"/>
    <w:rsid w:val="3B6765EF"/>
    <w:rsid w:val="3BCD0294"/>
    <w:rsid w:val="3C0637C5"/>
    <w:rsid w:val="3C3E4D0D"/>
    <w:rsid w:val="3C4F6F1A"/>
    <w:rsid w:val="3CAB7EC8"/>
    <w:rsid w:val="3D6C3AFB"/>
    <w:rsid w:val="3DB334D8"/>
    <w:rsid w:val="3DE563C2"/>
    <w:rsid w:val="3DF06488"/>
    <w:rsid w:val="3E083824"/>
    <w:rsid w:val="3EAB2402"/>
    <w:rsid w:val="3EDC3EE7"/>
    <w:rsid w:val="3F5E7474"/>
    <w:rsid w:val="3FC25C55"/>
    <w:rsid w:val="400413EB"/>
    <w:rsid w:val="401A783F"/>
    <w:rsid w:val="40550877"/>
    <w:rsid w:val="406A1B78"/>
    <w:rsid w:val="406C796F"/>
    <w:rsid w:val="408E3D89"/>
    <w:rsid w:val="409F7D44"/>
    <w:rsid w:val="40BA4B7E"/>
    <w:rsid w:val="41384420"/>
    <w:rsid w:val="41572C11"/>
    <w:rsid w:val="41BD2B78"/>
    <w:rsid w:val="42024A2E"/>
    <w:rsid w:val="420C0B4F"/>
    <w:rsid w:val="42CB4E20"/>
    <w:rsid w:val="43BC4F2D"/>
    <w:rsid w:val="43BF1D0C"/>
    <w:rsid w:val="43E75C8A"/>
    <w:rsid w:val="43F65ECD"/>
    <w:rsid w:val="44263728"/>
    <w:rsid w:val="442E38B9"/>
    <w:rsid w:val="449C4CC6"/>
    <w:rsid w:val="451A208F"/>
    <w:rsid w:val="459040FF"/>
    <w:rsid w:val="459C2AA4"/>
    <w:rsid w:val="45A32084"/>
    <w:rsid w:val="45C75D73"/>
    <w:rsid w:val="45DC10F2"/>
    <w:rsid w:val="45EF0E26"/>
    <w:rsid w:val="460A2104"/>
    <w:rsid w:val="467557CF"/>
    <w:rsid w:val="467F664E"/>
    <w:rsid w:val="46BB51AC"/>
    <w:rsid w:val="46DE7557"/>
    <w:rsid w:val="471F398D"/>
    <w:rsid w:val="472B2331"/>
    <w:rsid w:val="475353E4"/>
    <w:rsid w:val="47C02A7A"/>
    <w:rsid w:val="47D77DC3"/>
    <w:rsid w:val="484336AB"/>
    <w:rsid w:val="48591EC9"/>
    <w:rsid w:val="48A00DF5"/>
    <w:rsid w:val="490F25EC"/>
    <w:rsid w:val="495902DB"/>
    <w:rsid w:val="49FB5A77"/>
    <w:rsid w:val="4A125553"/>
    <w:rsid w:val="4A404346"/>
    <w:rsid w:val="4A6A3171"/>
    <w:rsid w:val="4A8E3883"/>
    <w:rsid w:val="4A8F4985"/>
    <w:rsid w:val="4AB12B4E"/>
    <w:rsid w:val="4AE7656F"/>
    <w:rsid w:val="4B6B0F4E"/>
    <w:rsid w:val="4BD6633F"/>
    <w:rsid w:val="4C765DFD"/>
    <w:rsid w:val="4C8C3872"/>
    <w:rsid w:val="4CA50490"/>
    <w:rsid w:val="4CC7124C"/>
    <w:rsid w:val="4CE4720A"/>
    <w:rsid w:val="4D4952BF"/>
    <w:rsid w:val="4D7E765F"/>
    <w:rsid w:val="4DE35289"/>
    <w:rsid w:val="4E12464E"/>
    <w:rsid w:val="4F440434"/>
    <w:rsid w:val="4FAB43FA"/>
    <w:rsid w:val="4FB8672C"/>
    <w:rsid w:val="4FCB46B2"/>
    <w:rsid w:val="50380272"/>
    <w:rsid w:val="50A11925"/>
    <w:rsid w:val="50A15412"/>
    <w:rsid w:val="50FE4613"/>
    <w:rsid w:val="516656C6"/>
    <w:rsid w:val="51901536"/>
    <w:rsid w:val="52B503B8"/>
    <w:rsid w:val="535D7D17"/>
    <w:rsid w:val="543A1E06"/>
    <w:rsid w:val="55194197"/>
    <w:rsid w:val="55495646"/>
    <w:rsid w:val="55A97243"/>
    <w:rsid w:val="55CA4CAE"/>
    <w:rsid w:val="56342E10"/>
    <w:rsid w:val="56903F5F"/>
    <w:rsid w:val="56BA5480"/>
    <w:rsid w:val="56BE6D1E"/>
    <w:rsid w:val="57917F8F"/>
    <w:rsid w:val="57936628"/>
    <w:rsid w:val="57B679F5"/>
    <w:rsid w:val="57CF6839"/>
    <w:rsid w:val="58456342"/>
    <w:rsid w:val="58915E9A"/>
    <w:rsid w:val="58B73A25"/>
    <w:rsid w:val="58C16652"/>
    <w:rsid w:val="58C3686E"/>
    <w:rsid w:val="58EE31BF"/>
    <w:rsid w:val="59AB714B"/>
    <w:rsid w:val="5A096502"/>
    <w:rsid w:val="5A0C1B4F"/>
    <w:rsid w:val="5A192F73"/>
    <w:rsid w:val="5A700F87"/>
    <w:rsid w:val="5A813FC1"/>
    <w:rsid w:val="5AC8016B"/>
    <w:rsid w:val="5BB16E51"/>
    <w:rsid w:val="5C2E5F9B"/>
    <w:rsid w:val="5C392E41"/>
    <w:rsid w:val="5C9F6CAA"/>
    <w:rsid w:val="5D355860"/>
    <w:rsid w:val="5D5757D7"/>
    <w:rsid w:val="5D902A97"/>
    <w:rsid w:val="5DC97387"/>
    <w:rsid w:val="5EF1163D"/>
    <w:rsid w:val="5F090B3B"/>
    <w:rsid w:val="5FDE3F8D"/>
    <w:rsid w:val="5FFA0D03"/>
    <w:rsid w:val="60136E57"/>
    <w:rsid w:val="602C2F4B"/>
    <w:rsid w:val="603D6CB2"/>
    <w:rsid w:val="60DB04CD"/>
    <w:rsid w:val="61693D2A"/>
    <w:rsid w:val="61761FA3"/>
    <w:rsid w:val="61B2122D"/>
    <w:rsid w:val="61C55405"/>
    <w:rsid w:val="622814F0"/>
    <w:rsid w:val="62465E1A"/>
    <w:rsid w:val="62C33BA0"/>
    <w:rsid w:val="62D149D9"/>
    <w:rsid w:val="6361115D"/>
    <w:rsid w:val="63780255"/>
    <w:rsid w:val="63E458EA"/>
    <w:rsid w:val="6468355E"/>
    <w:rsid w:val="6475522D"/>
    <w:rsid w:val="64C21DE9"/>
    <w:rsid w:val="65417DAC"/>
    <w:rsid w:val="65442AE4"/>
    <w:rsid w:val="657B402C"/>
    <w:rsid w:val="66287D10"/>
    <w:rsid w:val="66546D57"/>
    <w:rsid w:val="66C57C55"/>
    <w:rsid w:val="66D954AE"/>
    <w:rsid w:val="67696832"/>
    <w:rsid w:val="679B1D06"/>
    <w:rsid w:val="682830F2"/>
    <w:rsid w:val="690E58E3"/>
    <w:rsid w:val="692964CA"/>
    <w:rsid w:val="697B396B"/>
    <w:rsid w:val="6A1D3904"/>
    <w:rsid w:val="6A486BD3"/>
    <w:rsid w:val="6A8E035E"/>
    <w:rsid w:val="6A9738C0"/>
    <w:rsid w:val="6AA10091"/>
    <w:rsid w:val="6AD761A9"/>
    <w:rsid w:val="6BDB75D3"/>
    <w:rsid w:val="6CD429A0"/>
    <w:rsid w:val="6D2A0812"/>
    <w:rsid w:val="6D9045F1"/>
    <w:rsid w:val="6D940381"/>
    <w:rsid w:val="6DD77FD1"/>
    <w:rsid w:val="6E2F3C06"/>
    <w:rsid w:val="6E557B10"/>
    <w:rsid w:val="6E6B2E90"/>
    <w:rsid w:val="6E7D2BC3"/>
    <w:rsid w:val="6E81752C"/>
    <w:rsid w:val="6E9323E7"/>
    <w:rsid w:val="6EEF1D13"/>
    <w:rsid w:val="6F5B73A8"/>
    <w:rsid w:val="712A3AA9"/>
    <w:rsid w:val="713734FD"/>
    <w:rsid w:val="71F80EDE"/>
    <w:rsid w:val="722565BF"/>
    <w:rsid w:val="742206AB"/>
    <w:rsid w:val="74E36302"/>
    <w:rsid w:val="750F7C4B"/>
    <w:rsid w:val="755328D0"/>
    <w:rsid w:val="755F1275"/>
    <w:rsid w:val="75695C4F"/>
    <w:rsid w:val="75F714AD"/>
    <w:rsid w:val="765D2ACF"/>
    <w:rsid w:val="768216BE"/>
    <w:rsid w:val="76EC6B38"/>
    <w:rsid w:val="77544E83"/>
    <w:rsid w:val="7771703D"/>
    <w:rsid w:val="77E32B58"/>
    <w:rsid w:val="783112B9"/>
    <w:rsid w:val="78947487"/>
    <w:rsid w:val="789820AE"/>
    <w:rsid w:val="78F817C4"/>
    <w:rsid w:val="792C379E"/>
    <w:rsid w:val="794B7384"/>
    <w:rsid w:val="794F4474"/>
    <w:rsid w:val="795804B5"/>
    <w:rsid w:val="7993773F"/>
    <w:rsid w:val="799A6D1F"/>
    <w:rsid w:val="79CC2727"/>
    <w:rsid w:val="79E612E9"/>
    <w:rsid w:val="7A23721B"/>
    <w:rsid w:val="7AAD4830"/>
    <w:rsid w:val="7B0F54EB"/>
    <w:rsid w:val="7B335060"/>
    <w:rsid w:val="7C1E59E5"/>
    <w:rsid w:val="7C2C729B"/>
    <w:rsid w:val="7C8D2B6B"/>
    <w:rsid w:val="7CBC51FE"/>
    <w:rsid w:val="7CBE2D25"/>
    <w:rsid w:val="7CEA58C8"/>
    <w:rsid w:val="7D8B70AB"/>
    <w:rsid w:val="7DCE4AB7"/>
    <w:rsid w:val="7E3F39F1"/>
    <w:rsid w:val="7E90249F"/>
    <w:rsid w:val="7EC00FD6"/>
    <w:rsid w:val="7F8A339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font11"/>
    <w:basedOn w:val="19"/>
    <w:qFormat/>
    <w:uiPriority w:val="0"/>
    <w:rPr>
      <w:rFonts w:hint="eastAsia" w:ascii="宋体" w:hAnsi="宋体" w:eastAsia="宋体" w:cs="宋体"/>
      <w:color w:val="000000"/>
      <w:sz w:val="20"/>
      <w:szCs w:val="20"/>
      <w:u w:val="none"/>
    </w:rPr>
  </w:style>
  <w:style w:type="character" w:customStyle="1" w:styleId="56">
    <w:name w:val="font21"/>
    <w:basedOn w:val="1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4848-18BA-43E7-B48B-4A1B485A17E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125</Pages>
  <Words>2855</Words>
  <Characters>3022</Characters>
  <Lines>486</Lines>
  <Paragraphs>137</Paragraphs>
  <TotalTime>0</TotalTime>
  <ScaleCrop>false</ScaleCrop>
  <LinksUpToDate>false</LinksUpToDate>
  <CharactersWithSpaces>3120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Administrator</dc:creator>
  <cp:lastModifiedBy>-Mr.Mircale</cp:lastModifiedBy>
  <cp:lastPrinted>2025-08-21T08:16:00Z</cp:lastPrinted>
  <dcterms:modified xsi:type="dcterms:W3CDTF">2025-08-27T04:08:13Z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22228C177AE3478EAA25944171C59995_13</vt:lpwstr>
  </property>
  <property fmtid="{D5CDD505-2E9C-101B-9397-08002B2CF9AE}" pid="4" name="KSOTemplateDocerSaveRecord">
    <vt:lpwstr>eyJoZGlkIjoiNTU0ZmIwYTQ3NzlmZGUxZmU3Zjk0M2IyZTNmM2IxNjAiLCJ1c2VySWQiOiIyMzQ3NTA2NDYifQ==</vt:lpwstr>
  </property>
</Properties>
</file>