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84449">
      <w:pPr>
        <w:pStyle w:val="11"/>
        <w:rPr>
          <w:rFonts w:hint="eastAsia"/>
          <w:color w:val="auto"/>
          <w:sz w:val="24"/>
          <w:szCs w:val="24"/>
          <w:highlight w:val="none"/>
          <w:lang w:val="en-US" w:eastAsia="zh-Hans"/>
        </w:rPr>
      </w:pPr>
      <w:r>
        <w:rPr>
          <w:color w:val="auto"/>
          <w:sz w:val="24"/>
          <w:szCs w:val="24"/>
          <w:highlight w:val="none"/>
        </w:rPr>
        <w:br w:type="textWrapping"/>
      </w:r>
    </w:p>
    <w:p w14:paraId="20B84D98">
      <w:pPr>
        <w:pStyle w:val="11"/>
        <w:rPr>
          <w:color w:val="auto"/>
          <w:sz w:val="24"/>
          <w:szCs w:val="24"/>
          <w:highlight w:val="none"/>
        </w:rPr>
      </w:pPr>
      <w:r>
        <w:rPr>
          <w:rFonts w:ascii="仿宋_GB2312" w:hAnsi="仿宋_GB2312" w:eastAsia="仿宋_GB2312" w:cs="仿宋_GB2312"/>
          <w:color w:val="auto"/>
          <w:sz w:val="24"/>
          <w:szCs w:val="24"/>
          <w:highlight w:val="none"/>
        </w:rPr>
        <w:t>　</w:t>
      </w:r>
    </w:p>
    <w:p w14:paraId="168FDABD">
      <w:pPr>
        <w:pStyle w:val="11"/>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sz w:val="44"/>
          <w:szCs w:val="44"/>
          <w:highlight w:val="none"/>
        </w:rPr>
        <w:t>福建省政府采购</w:t>
      </w:r>
    </w:p>
    <w:p w14:paraId="2D55D06C">
      <w:pPr>
        <w:pStyle w:val="11"/>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sz w:val="44"/>
          <w:szCs w:val="44"/>
          <w:highlight w:val="none"/>
        </w:rPr>
        <w:t>货物和服务项目</w:t>
      </w:r>
    </w:p>
    <w:p w14:paraId="515E8C7E">
      <w:pPr>
        <w:pStyle w:val="11"/>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sz w:val="44"/>
          <w:szCs w:val="44"/>
          <w:highlight w:val="none"/>
        </w:rPr>
        <w:t>公开招标文件</w:t>
      </w:r>
    </w:p>
    <w:p w14:paraId="631BDD57">
      <w:pPr>
        <w:pStyle w:val="11"/>
        <w:jc w:val="center"/>
        <w:outlineLvl w:val="2"/>
        <w:rPr>
          <w:rFonts w:hint="eastAsia" w:eastAsia="仿宋_GB2312"/>
          <w:color w:val="auto"/>
          <w:sz w:val="28"/>
          <w:szCs w:val="28"/>
          <w:highlight w:val="none"/>
          <w:lang w:eastAsia="zh-CN"/>
        </w:rPr>
      </w:pPr>
      <w:r>
        <w:rPr>
          <w:rFonts w:ascii="仿宋_GB2312" w:hAnsi="仿宋_GB2312" w:eastAsia="仿宋_GB2312" w:cs="仿宋_GB2312"/>
          <w:b/>
          <w:color w:val="auto"/>
          <w:sz w:val="28"/>
          <w:szCs w:val="28"/>
          <w:highlight w:val="none"/>
        </w:rPr>
        <w:t>项目名称：</w:t>
      </w:r>
      <w:r>
        <w:rPr>
          <w:rFonts w:hint="eastAsia" w:ascii="仿宋_GB2312" w:hAnsi="仿宋_GB2312" w:eastAsia="仿宋_GB2312" w:cs="仿宋_GB2312"/>
          <w:b/>
          <w:color w:val="auto"/>
          <w:sz w:val="28"/>
          <w:szCs w:val="28"/>
          <w:highlight w:val="none"/>
          <w:lang w:eastAsia="zh-CN"/>
        </w:rPr>
        <w:t>2026年新美街道农村一体化保洁</w:t>
      </w:r>
    </w:p>
    <w:p w14:paraId="45306B03">
      <w:pPr>
        <w:pStyle w:val="11"/>
        <w:jc w:val="center"/>
        <w:outlineLvl w:val="2"/>
        <w:rPr>
          <w:rFonts w:hint="eastAsia" w:eastAsia="仿宋_GB2312"/>
          <w:color w:val="auto"/>
          <w:sz w:val="28"/>
          <w:szCs w:val="28"/>
          <w:highlight w:val="none"/>
          <w:lang w:eastAsia="zh-CN"/>
        </w:rPr>
      </w:pPr>
      <w:r>
        <w:rPr>
          <w:rFonts w:ascii="仿宋_GB2312" w:hAnsi="仿宋_GB2312" w:eastAsia="仿宋_GB2312" w:cs="仿宋_GB2312"/>
          <w:b/>
          <w:color w:val="auto"/>
          <w:sz w:val="28"/>
          <w:szCs w:val="28"/>
          <w:highlight w:val="none"/>
        </w:rPr>
        <w:t>备案编号：</w:t>
      </w:r>
      <w:r>
        <w:rPr>
          <w:rFonts w:hint="eastAsia" w:ascii="仿宋_GB2312" w:hAnsi="仿宋_GB2312" w:eastAsia="仿宋_GB2312" w:cs="仿宋_GB2312"/>
          <w:b/>
          <w:color w:val="auto"/>
          <w:sz w:val="28"/>
          <w:szCs w:val="28"/>
          <w:highlight w:val="none"/>
          <w:lang w:val="en-US" w:eastAsia="zh-CN"/>
        </w:rPr>
        <w:t xml:space="preserve"> </w:t>
      </w:r>
    </w:p>
    <w:p w14:paraId="66916A0A">
      <w:pPr>
        <w:pStyle w:val="11"/>
        <w:jc w:val="center"/>
        <w:outlineLvl w:val="2"/>
        <w:rPr>
          <w:rFonts w:hint="eastAsia" w:eastAsia="仿宋_GB2312"/>
          <w:color w:val="auto"/>
          <w:sz w:val="28"/>
          <w:szCs w:val="28"/>
          <w:highlight w:val="none"/>
          <w:lang w:eastAsia="zh-CN"/>
        </w:rPr>
      </w:pPr>
      <w:r>
        <w:rPr>
          <w:rFonts w:ascii="仿宋_GB2312" w:hAnsi="仿宋_GB2312" w:eastAsia="仿宋_GB2312" w:cs="仿宋_GB2312"/>
          <w:b/>
          <w:color w:val="auto"/>
          <w:sz w:val="28"/>
          <w:szCs w:val="28"/>
          <w:highlight w:val="none"/>
        </w:rPr>
        <w:t>项目编号：</w:t>
      </w:r>
      <w:r>
        <w:rPr>
          <w:rFonts w:hint="eastAsia" w:ascii="仿宋_GB2312" w:hAnsi="仿宋_GB2312" w:eastAsia="仿宋_GB2312" w:cs="仿宋_GB2312"/>
          <w:b/>
          <w:color w:val="auto"/>
          <w:sz w:val="28"/>
          <w:szCs w:val="28"/>
          <w:highlight w:val="none"/>
          <w:lang w:val="en-US" w:eastAsia="zh-CN"/>
        </w:rPr>
        <w:t xml:space="preserve"> </w:t>
      </w:r>
    </w:p>
    <w:p w14:paraId="45A47E95">
      <w:pPr>
        <w:pStyle w:val="11"/>
        <w:jc w:val="center"/>
        <w:outlineLvl w:val="2"/>
        <w:rPr>
          <w:color w:val="auto"/>
          <w:sz w:val="28"/>
          <w:szCs w:val="28"/>
          <w:highlight w:val="none"/>
        </w:rPr>
      </w:pPr>
      <w:r>
        <w:rPr>
          <w:rFonts w:ascii="仿宋_GB2312" w:hAnsi="仿宋_GB2312" w:eastAsia="仿宋_GB2312" w:cs="仿宋_GB2312"/>
          <w:b/>
          <w:color w:val="auto"/>
          <w:sz w:val="28"/>
          <w:szCs w:val="28"/>
          <w:highlight w:val="none"/>
        </w:rPr>
        <w:t>采购人：</w:t>
      </w:r>
      <w:r>
        <w:rPr>
          <w:rFonts w:hint="eastAsia" w:ascii="仿宋_GB2312" w:hAnsi="仿宋_GB2312" w:eastAsia="仿宋_GB2312" w:cs="仿宋_GB2312"/>
          <w:b/>
          <w:color w:val="auto"/>
          <w:sz w:val="28"/>
          <w:szCs w:val="28"/>
          <w:highlight w:val="none"/>
        </w:rPr>
        <w:t>厦门市同安区新美街道办事处（行政）</w:t>
      </w:r>
    </w:p>
    <w:p w14:paraId="57337609">
      <w:pPr>
        <w:pStyle w:val="11"/>
        <w:jc w:val="center"/>
        <w:outlineLvl w:val="2"/>
        <w:rPr>
          <w:rFonts w:hint="eastAsia" w:eastAsia="仿宋_GB2312"/>
          <w:color w:val="auto"/>
          <w:sz w:val="28"/>
          <w:szCs w:val="28"/>
          <w:highlight w:val="none"/>
          <w:lang w:eastAsia="zh-CN"/>
        </w:rPr>
      </w:pPr>
      <w:r>
        <w:rPr>
          <w:rFonts w:ascii="仿宋_GB2312" w:hAnsi="仿宋_GB2312" w:eastAsia="仿宋_GB2312" w:cs="仿宋_GB2312"/>
          <w:b/>
          <w:color w:val="auto"/>
          <w:sz w:val="28"/>
          <w:szCs w:val="28"/>
          <w:highlight w:val="none"/>
        </w:rPr>
        <w:t>代理机构：</w:t>
      </w:r>
      <w:r>
        <w:rPr>
          <w:rFonts w:hint="eastAsia" w:ascii="仿宋_GB2312" w:hAnsi="仿宋_GB2312" w:eastAsia="仿宋_GB2312" w:cs="仿宋_GB2312"/>
          <w:b/>
          <w:color w:val="auto"/>
          <w:sz w:val="28"/>
          <w:szCs w:val="28"/>
          <w:highlight w:val="none"/>
          <w:lang w:eastAsia="zh-CN"/>
        </w:rPr>
        <w:t>厦门住总建设有限公司</w:t>
      </w:r>
    </w:p>
    <w:p w14:paraId="50EB93EA">
      <w:pPr>
        <w:pStyle w:val="11"/>
        <w:jc w:val="center"/>
        <w:outlineLvl w:val="2"/>
        <w:rPr>
          <w:color w:val="auto"/>
          <w:sz w:val="28"/>
          <w:szCs w:val="28"/>
          <w:highlight w:val="none"/>
        </w:rPr>
      </w:pPr>
      <w:r>
        <w:rPr>
          <w:rFonts w:ascii="仿宋_GB2312" w:hAnsi="仿宋_GB2312" w:eastAsia="仿宋_GB2312" w:cs="仿宋_GB2312"/>
          <w:b/>
          <w:color w:val="auto"/>
          <w:sz w:val="28"/>
          <w:szCs w:val="28"/>
          <w:highlight w:val="none"/>
        </w:rPr>
        <w:t>编制时间：2026年0</w:t>
      </w:r>
      <w:r>
        <w:rPr>
          <w:rFonts w:hint="eastAsia" w:ascii="仿宋_GB2312" w:hAnsi="仿宋_GB2312" w:eastAsia="仿宋_GB2312" w:cs="仿宋_GB2312"/>
          <w:b/>
          <w:color w:val="auto"/>
          <w:sz w:val="28"/>
          <w:szCs w:val="28"/>
          <w:highlight w:val="none"/>
          <w:lang w:val="en-US" w:eastAsia="zh-CN"/>
        </w:rPr>
        <w:t>3</w:t>
      </w:r>
      <w:r>
        <w:rPr>
          <w:rFonts w:ascii="仿宋_GB2312" w:hAnsi="仿宋_GB2312" w:eastAsia="仿宋_GB2312" w:cs="仿宋_GB2312"/>
          <w:b/>
          <w:color w:val="auto"/>
          <w:sz w:val="28"/>
          <w:szCs w:val="28"/>
          <w:highlight w:val="none"/>
        </w:rPr>
        <w:t>月</w:t>
      </w:r>
    </w:p>
    <w:p w14:paraId="2A9C7972">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75E4DAD2">
      <w:pPr>
        <w:pStyle w:val="11"/>
        <w:jc w:val="center"/>
        <w:outlineLvl w:val="1"/>
        <w:rPr>
          <w:color w:val="auto"/>
          <w:sz w:val="30"/>
          <w:szCs w:val="30"/>
          <w:highlight w:val="none"/>
        </w:rPr>
      </w:pPr>
      <w:r>
        <w:rPr>
          <w:rFonts w:ascii="仿宋_GB2312" w:hAnsi="仿宋_GB2312" w:eastAsia="仿宋_GB2312" w:cs="仿宋_GB2312"/>
          <w:b/>
          <w:color w:val="auto"/>
          <w:sz w:val="30"/>
          <w:szCs w:val="30"/>
          <w:highlight w:val="none"/>
        </w:rPr>
        <w:t>第一章 投标邀请</w:t>
      </w:r>
    </w:p>
    <w:p w14:paraId="5C657D64">
      <w:pPr>
        <w:pStyle w:val="11"/>
        <w:ind w:firstLine="480"/>
        <w:jc w:val="both"/>
        <w:rPr>
          <w:color w:val="auto"/>
          <w:sz w:val="24"/>
          <w:szCs w:val="24"/>
          <w:highlight w:val="none"/>
        </w:rPr>
      </w:pP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采用公开招标方式组织 </w:t>
      </w:r>
      <w:r>
        <w:rPr>
          <w:rFonts w:hint="eastAsia" w:ascii="仿宋_GB2312" w:hAnsi="仿宋_GB2312" w:eastAsia="仿宋_GB2312" w:cs="仿宋_GB2312"/>
          <w:color w:val="auto"/>
          <w:sz w:val="24"/>
          <w:szCs w:val="24"/>
          <w:highlight w:val="none"/>
          <w:lang w:eastAsia="zh-CN"/>
        </w:rPr>
        <w:t>2026年新美街道农村一体化保洁</w:t>
      </w:r>
      <w:r>
        <w:rPr>
          <w:rFonts w:ascii="仿宋_GB2312" w:hAnsi="仿宋_GB2312" w:eastAsia="仿宋_GB2312" w:cs="仿宋_GB2312"/>
          <w:color w:val="auto"/>
          <w:sz w:val="24"/>
          <w:szCs w:val="24"/>
          <w:highlight w:val="none"/>
        </w:rPr>
        <w:t xml:space="preserve"> （以下简称：“本项目”）的政府采购活动，现邀请供应商参加投标。</w:t>
      </w:r>
    </w:p>
    <w:p w14:paraId="46D6C469">
      <w:pPr>
        <w:pStyle w:val="11"/>
        <w:ind w:firstLine="480"/>
        <w:jc w:val="left"/>
        <w:outlineLvl w:val="2"/>
        <w:rPr>
          <w:rFonts w:hint="eastAsia" w:eastAsia="仿宋_GB2312"/>
          <w:color w:val="auto"/>
          <w:sz w:val="24"/>
          <w:szCs w:val="24"/>
          <w:highlight w:val="none"/>
          <w:lang w:eastAsia="zh-CN"/>
        </w:rPr>
      </w:pPr>
      <w:r>
        <w:rPr>
          <w:rFonts w:ascii="仿宋_GB2312" w:hAnsi="仿宋_GB2312" w:eastAsia="仿宋_GB2312" w:cs="仿宋_GB2312"/>
          <w:b/>
          <w:color w:val="auto"/>
          <w:sz w:val="24"/>
          <w:szCs w:val="24"/>
          <w:highlight w:val="none"/>
        </w:rPr>
        <w:t>1、备案编号：</w:t>
      </w:r>
      <w:r>
        <w:rPr>
          <w:rFonts w:hint="eastAsia" w:ascii="仿宋_GB2312" w:hAnsi="仿宋_GB2312" w:eastAsia="仿宋_GB2312" w:cs="仿宋_GB2312"/>
          <w:b/>
          <w:color w:val="auto"/>
          <w:sz w:val="24"/>
          <w:szCs w:val="24"/>
          <w:highlight w:val="none"/>
          <w:lang w:val="en-US" w:eastAsia="zh-CN"/>
        </w:rPr>
        <w:t xml:space="preserve"> </w:t>
      </w:r>
    </w:p>
    <w:p w14:paraId="603C213E">
      <w:pPr>
        <w:pStyle w:val="11"/>
        <w:ind w:firstLine="480"/>
        <w:jc w:val="left"/>
        <w:outlineLvl w:val="2"/>
        <w:rPr>
          <w:rFonts w:hint="eastAsia" w:eastAsia="仿宋_GB2312"/>
          <w:color w:val="auto"/>
          <w:sz w:val="24"/>
          <w:szCs w:val="24"/>
          <w:highlight w:val="none"/>
          <w:lang w:eastAsia="zh-CN"/>
        </w:rPr>
      </w:pPr>
      <w:r>
        <w:rPr>
          <w:rFonts w:ascii="仿宋_GB2312" w:hAnsi="仿宋_GB2312" w:eastAsia="仿宋_GB2312" w:cs="仿宋_GB2312"/>
          <w:b/>
          <w:color w:val="auto"/>
          <w:sz w:val="24"/>
          <w:szCs w:val="24"/>
          <w:highlight w:val="none"/>
        </w:rPr>
        <w:t>2、项目编号：</w:t>
      </w:r>
      <w:r>
        <w:rPr>
          <w:rFonts w:hint="eastAsia" w:ascii="仿宋_GB2312" w:hAnsi="仿宋_GB2312" w:eastAsia="仿宋_GB2312" w:cs="仿宋_GB2312"/>
          <w:b/>
          <w:color w:val="auto"/>
          <w:sz w:val="24"/>
          <w:szCs w:val="24"/>
          <w:highlight w:val="none"/>
          <w:lang w:val="en-US" w:eastAsia="zh-CN"/>
        </w:rPr>
        <w:t xml:space="preserve"> </w:t>
      </w:r>
    </w:p>
    <w:p w14:paraId="3E790D95">
      <w:pPr>
        <w:pStyle w:val="11"/>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3、预算金额、最高限价：详见《采购标的一览表》。</w:t>
      </w:r>
    </w:p>
    <w:p w14:paraId="12F9B973">
      <w:pPr>
        <w:pStyle w:val="11"/>
        <w:ind w:firstLine="480"/>
        <w:jc w:val="left"/>
        <w:outlineLvl w:val="2"/>
        <w:rPr>
          <w:color w:val="auto"/>
          <w:sz w:val="24"/>
          <w:szCs w:val="24"/>
          <w:highlight w:val="none"/>
        </w:rPr>
      </w:pPr>
      <w:r>
        <w:rPr>
          <w:rFonts w:ascii="仿宋_GB2312" w:hAnsi="仿宋_GB2312" w:eastAsia="仿宋_GB2312" w:cs="仿宋_GB2312"/>
          <w:b/>
          <w:color w:val="auto"/>
          <w:sz w:val="24"/>
          <w:szCs w:val="24"/>
          <w:highlight w:val="none"/>
        </w:rPr>
        <w:t>4、招标内容及要求：详见《采购标的一览表》及招标文件第五章。</w:t>
      </w:r>
    </w:p>
    <w:p w14:paraId="3219655E">
      <w:pPr>
        <w:pStyle w:val="11"/>
        <w:ind w:firstLine="480"/>
        <w:jc w:val="left"/>
        <w:outlineLvl w:val="2"/>
        <w:rPr>
          <w:color w:val="auto"/>
          <w:sz w:val="24"/>
          <w:szCs w:val="24"/>
          <w:highlight w:val="none"/>
        </w:rPr>
      </w:pPr>
      <w:r>
        <w:rPr>
          <w:rFonts w:ascii="仿宋_GB2312" w:hAnsi="仿宋_GB2312" w:eastAsia="仿宋_GB2312" w:cs="仿宋_GB2312"/>
          <w:b/>
          <w:color w:val="auto"/>
          <w:sz w:val="24"/>
          <w:szCs w:val="24"/>
          <w:highlight w:val="none"/>
        </w:rPr>
        <w:t>5、需要落实的政府采购政策</w:t>
      </w:r>
    </w:p>
    <w:p w14:paraId="574AFB2B">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进口产品：本项目不适用</w:t>
      </w:r>
    </w:p>
    <w:p w14:paraId="545802A1">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节能产品：本项目不适用</w:t>
      </w:r>
    </w:p>
    <w:p w14:paraId="2C9F33B8">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环境标志产品：本项目不适用</w:t>
      </w:r>
    </w:p>
    <w:p w14:paraId="5D32FF28">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促进中小企业发展的相关政策：</w:t>
      </w:r>
    </w:p>
    <w:p w14:paraId="58B1D47D">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采购包1：</w:t>
      </w:r>
      <w:r>
        <w:rPr>
          <w:rFonts w:hint="eastAsia" w:ascii="仿宋_GB2312" w:hAnsi="仿宋_GB2312" w:eastAsia="仿宋_GB2312" w:cs="仿宋_GB2312"/>
          <w:color w:val="auto"/>
          <w:sz w:val="24"/>
          <w:szCs w:val="24"/>
          <w:highlight w:val="none"/>
        </w:rPr>
        <w:t>专门采购包预留</w:t>
      </w:r>
    </w:p>
    <w:p w14:paraId="5797434D">
      <w:pPr>
        <w:pStyle w:val="11"/>
        <w:ind w:firstLine="960" w:firstLineChars="400"/>
        <w:jc w:val="left"/>
        <w:rPr>
          <w:color w:val="auto"/>
          <w:sz w:val="24"/>
          <w:szCs w:val="24"/>
          <w:highlight w:val="none"/>
        </w:rPr>
      </w:pPr>
      <w:r>
        <w:rPr>
          <w:rFonts w:ascii="仿宋_GB2312" w:hAnsi="仿宋_GB2312" w:eastAsia="仿宋_GB2312" w:cs="仿宋_GB2312"/>
          <w:color w:val="auto"/>
          <w:sz w:val="24"/>
          <w:szCs w:val="24"/>
          <w:highlight w:val="none"/>
        </w:rPr>
        <w:t>面向的企业规模：</w:t>
      </w:r>
      <w:r>
        <w:rPr>
          <w:rFonts w:hint="eastAsia" w:ascii="仿宋_GB2312" w:hAnsi="仿宋_GB2312" w:eastAsia="仿宋_GB2312" w:cs="仿宋_GB2312"/>
          <w:color w:val="auto"/>
          <w:sz w:val="24"/>
          <w:szCs w:val="24"/>
          <w:highlight w:val="none"/>
          <w:lang w:val="en-US" w:eastAsia="zh-CN"/>
        </w:rPr>
        <w:t>中小</w:t>
      </w:r>
      <w:r>
        <w:rPr>
          <w:rFonts w:hint="eastAsia" w:ascii="仿宋_GB2312" w:hAnsi="仿宋_GB2312" w:eastAsia="仿宋_GB2312" w:cs="仿宋_GB2312"/>
          <w:color w:val="auto"/>
          <w:sz w:val="24"/>
          <w:szCs w:val="24"/>
          <w:highlight w:val="none"/>
        </w:rPr>
        <w:t>企业</w:t>
      </w:r>
    </w:p>
    <w:p w14:paraId="084FB0AA">
      <w:pPr>
        <w:pStyle w:val="11"/>
        <w:ind w:firstLine="960" w:firstLineChars="400"/>
        <w:jc w:val="left"/>
        <w:rPr>
          <w:color w:val="auto"/>
          <w:sz w:val="24"/>
          <w:szCs w:val="24"/>
          <w:highlight w:val="none"/>
        </w:rPr>
      </w:pPr>
      <w:r>
        <w:rPr>
          <w:rFonts w:ascii="仿宋_GB2312" w:hAnsi="仿宋_GB2312" w:eastAsia="仿宋_GB2312" w:cs="仿宋_GB2312"/>
          <w:color w:val="auto"/>
          <w:sz w:val="24"/>
          <w:szCs w:val="24"/>
          <w:highlight w:val="none"/>
        </w:rPr>
        <w:t>预留形式：</w:t>
      </w:r>
      <w:r>
        <w:rPr>
          <w:rFonts w:hint="eastAsia" w:ascii="仿宋_GB2312" w:hAnsi="仿宋_GB2312" w:eastAsia="仿宋_GB2312" w:cs="仿宋_GB2312"/>
          <w:color w:val="auto"/>
          <w:sz w:val="24"/>
          <w:szCs w:val="24"/>
          <w:highlight w:val="none"/>
        </w:rPr>
        <w:t>专门采购包预留</w:t>
      </w:r>
    </w:p>
    <w:p w14:paraId="083F94A4">
      <w:pPr>
        <w:pStyle w:val="11"/>
        <w:ind w:firstLine="960" w:firstLineChars="400"/>
        <w:jc w:val="left"/>
        <w:rPr>
          <w:color w:val="auto"/>
          <w:sz w:val="24"/>
          <w:szCs w:val="24"/>
          <w:highlight w:val="none"/>
        </w:rPr>
      </w:pPr>
      <w:r>
        <w:rPr>
          <w:rFonts w:ascii="仿宋_GB2312" w:hAnsi="仿宋_GB2312" w:eastAsia="仿宋_GB2312" w:cs="仿宋_GB2312"/>
          <w:color w:val="auto"/>
          <w:sz w:val="24"/>
          <w:szCs w:val="24"/>
          <w:highlight w:val="none"/>
        </w:rPr>
        <w:t>预留比例：</w:t>
      </w:r>
      <w:r>
        <w:rPr>
          <w:rFonts w:hint="eastAsia" w:ascii="仿宋_GB2312" w:hAnsi="仿宋_GB2312" w:eastAsia="仿宋_GB2312" w:cs="仿宋_GB2312"/>
          <w:color w:val="auto"/>
          <w:sz w:val="24"/>
          <w:szCs w:val="24"/>
          <w:highlight w:val="none"/>
          <w:lang w:val="en-US" w:eastAsia="zh-CN"/>
        </w:rPr>
        <w:t>100</w:t>
      </w:r>
      <w:r>
        <w:rPr>
          <w:rFonts w:ascii="仿宋_GB2312" w:hAnsi="仿宋_GB2312" w:eastAsia="仿宋_GB2312" w:cs="仿宋_GB2312"/>
          <w:color w:val="auto"/>
          <w:sz w:val="24"/>
          <w:szCs w:val="24"/>
          <w:highlight w:val="none"/>
        </w:rPr>
        <w:t>%</w:t>
      </w:r>
    </w:p>
    <w:p w14:paraId="6ACD8202">
      <w:pPr>
        <w:pStyle w:val="11"/>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6、投标人的资格要求</w:t>
      </w:r>
    </w:p>
    <w:p w14:paraId="657E4B8E">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6.1法定条件：符合政府采购法第二十二条第一款规定的条件。</w:t>
      </w:r>
    </w:p>
    <w:p w14:paraId="22B91536">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6.2特定条件：</w:t>
      </w:r>
    </w:p>
    <w:p w14:paraId="125BE338">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40"/>
        <w:gridCol w:w="5866"/>
      </w:tblGrid>
      <w:tr w14:paraId="3E1E8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40" w:type="dxa"/>
          </w:tcPr>
          <w:p w14:paraId="10E0CDEE">
            <w:pPr>
              <w:pStyle w:val="11"/>
              <w:jc w:val="both"/>
              <w:rPr>
                <w:color w:val="auto"/>
                <w:sz w:val="24"/>
                <w:szCs w:val="24"/>
                <w:highlight w:val="none"/>
              </w:rPr>
            </w:pPr>
            <w:r>
              <w:rPr>
                <w:rFonts w:ascii="仿宋_GB2312" w:hAnsi="仿宋_GB2312" w:eastAsia="仿宋_GB2312" w:cs="仿宋_GB2312"/>
                <w:color w:val="auto"/>
                <w:sz w:val="24"/>
                <w:szCs w:val="24"/>
                <w:highlight w:val="none"/>
              </w:rPr>
              <w:t xml:space="preserve"> 资格审查要求概况</w:t>
            </w:r>
          </w:p>
        </w:tc>
        <w:tc>
          <w:tcPr>
            <w:tcW w:w="5866" w:type="dxa"/>
          </w:tcPr>
          <w:p w14:paraId="53E3A8A7">
            <w:pPr>
              <w:pStyle w:val="11"/>
              <w:jc w:val="both"/>
              <w:rPr>
                <w:color w:val="auto"/>
                <w:sz w:val="24"/>
                <w:szCs w:val="24"/>
                <w:highlight w:val="none"/>
              </w:rPr>
            </w:pPr>
            <w:r>
              <w:rPr>
                <w:rFonts w:ascii="仿宋_GB2312" w:hAnsi="仿宋_GB2312" w:eastAsia="仿宋_GB2312" w:cs="仿宋_GB2312"/>
                <w:color w:val="auto"/>
                <w:sz w:val="24"/>
                <w:szCs w:val="24"/>
                <w:highlight w:val="none"/>
              </w:rPr>
              <w:t xml:space="preserve"> 评审点具体描述</w:t>
            </w:r>
          </w:p>
        </w:tc>
      </w:tr>
      <w:tr w14:paraId="5C1CF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40" w:type="dxa"/>
          </w:tcPr>
          <w:p w14:paraId="26D6E2CC">
            <w:pPr>
              <w:pStyle w:val="11"/>
              <w:jc w:val="both"/>
              <w:rPr>
                <w:color w:val="auto"/>
                <w:sz w:val="24"/>
                <w:szCs w:val="24"/>
                <w:highlight w:val="none"/>
              </w:rPr>
            </w:pPr>
            <w:r>
              <w:rPr>
                <w:rFonts w:ascii="仿宋_GB2312" w:hAnsi="仿宋_GB2312" w:eastAsia="仿宋_GB2312" w:cs="仿宋_GB2312"/>
                <w:color w:val="auto"/>
                <w:sz w:val="24"/>
                <w:szCs w:val="24"/>
                <w:highlight w:val="none"/>
              </w:rPr>
              <w:t>资格承诺函</w:t>
            </w:r>
          </w:p>
        </w:tc>
        <w:tc>
          <w:tcPr>
            <w:tcW w:w="5866" w:type="dxa"/>
          </w:tcPr>
          <w:p w14:paraId="39B5AD2C">
            <w:pPr>
              <w:pStyle w:val="11"/>
              <w:jc w:val="both"/>
              <w:rPr>
                <w:color w:val="auto"/>
                <w:sz w:val="24"/>
                <w:szCs w:val="24"/>
                <w:highlight w:val="none"/>
              </w:rPr>
            </w:pPr>
            <w:r>
              <w:rPr>
                <w:rFonts w:ascii="仿宋_GB2312" w:hAnsi="仿宋_GB2312" w:eastAsia="仿宋_GB2312" w:cs="仿宋_GB2312"/>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AFAD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40" w:type="dxa"/>
          </w:tcPr>
          <w:p w14:paraId="3E452853">
            <w:pPr>
              <w:pStyle w:val="11"/>
              <w:jc w:val="both"/>
              <w:rPr>
                <w:color w:val="auto"/>
                <w:sz w:val="24"/>
                <w:szCs w:val="24"/>
                <w:highlight w:val="none"/>
              </w:rPr>
            </w:pPr>
            <w:r>
              <w:rPr>
                <w:rFonts w:ascii="仿宋_GB2312" w:hAnsi="仿宋_GB2312" w:eastAsia="仿宋_GB2312" w:cs="仿宋_GB2312"/>
                <w:color w:val="auto"/>
                <w:sz w:val="24"/>
                <w:szCs w:val="24"/>
                <w:highlight w:val="none"/>
              </w:rPr>
              <w:t>信用记录要求（招标文件其他地方要求与本条款要求不一致的，以本条款要求为准）</w:t>
            </w:r>
          </w:p>
        </w:tc>
        <w:tc>
          <w:tcPr>
            <w:tcW w:w="5866" w:type="dxa"/>
          </w:tcPr>
          <w:p w14:paraId="51683517">
            <w:pPr>
              <w:pStyle w:val="11"/>
              <w:jc w:val="both"/>
              <w:rPr>
                <w:color w:val="auto"/>
                <w:sz w:val="24"/>
                <w:szCs w:val="24"/>
                <w:highlight w:val="none"/>
              </w:rPr>
            </w:pPr>
            <w:r>
              <w:rPr>
                <w:rFonts w:ascii="仿宋_GB2312" w:hAnsi="仿宋_GB2312" w:eastAsia="仿宋_GB2312" w:cs="仿宋_GB2312"/>
                <w:color w:val="auto"/>
                <w:sz w:val="24"/>
                <w:szCs w:val="24"/>
                <w:highlight w:val="none"/>
              </w:rPr>
              <w:t>1、信用信息查询渠道：资格审查小组通过“信用中国”网站（www.creditchina.gov.cn）、中国政府采购网（www.ccgp.gov.cn）、“信用厦门”网站（credit.xm.gov.cn）查询所有供应商的信用信息。 2、截止时点：查询供应商截止开标当天前三年内的信用信息。 3、查询记录和证据留存方式：资格审查小组将查询结果网页打印后随采购文件一并存档。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5、供应商无需提供信用信息查询结果。若供应商自行提供查询结果的，仍以资格审查人员查询结果为准。</w:t>
            </w:r>
          </w:p>
        </w:tc>
      </w:tr>
      <w:tr w14:paraId="0BFB0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40" w:type="dxa"/>
            <w:vAlign w:val="top"/>
          </w:tcPr>
          <w:p w14:paraId="4A13BEC0">
            <w:pPr>
              <w:pStyle w:val="11"/>
              <w:jc w:val="both"/>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本采购包属于专门面向中小企业采购。</w:t>
            </w:r>
          </w:p>
        </w:tc>
        <w:tc>
          <w:tcPr>
            <w:tcW w:w="5866" w:type="dxa"/>
            <w:vAlign w:val="top"/>
          </w:tcPr>
          <w:p w14:paraId="419D0230">
            <w:pPr>
              <w:pStyle w:val="11"/>
              <w:jc w:val="both"/>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（1）本采购包落实中小企业扶持政策要求的方式：整个采购包专门面向中小企业采购。 （2）投标人需按第五章补充条款要求提供相关材料，否则投标无效。</w:t>
            </w:r>
          </w:p>
        </w:tc>
      </w:tr>
    </w:tbl>
    <w:p w14:paraId="37200F73">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6.3是否接受联合体投标：</w:t>
      </w:r>
    </w:p>
    <w:p w14:paraId="6E6F5BA7">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采购包1：不接受</w:t>
      </w:r>
    </w:p>
    <w:p w14:paraId="65C503EB">
      <w:pPr>
        <w:pStyle w:val="11"/>
        <w:ind w:firstLine="480"/>
        <w:jc w:val="both"/>
        <w:rPr>
          <w:color w:val="auto"/>
          <w:sz w:val="24"/>
          <w:szCs w:val="24"/>
          <w:highlight w:val="none"/>
        </w:rPr>
      </w:pPr>
      <w:r>
        <w:rPr>
          <w:rFonts w:ascii="仿宋_GB2312" w:hAnsi="仿宋_GB2312" w:eastAsia="仿宋_GB2312" w:cs="仿宋_GB2312"/>
          <w:b/>
          <w:color w:val="auto"/>
          <w:sz w:val="24"/>
          <w:szCs w:val="24"/>
          <w:highlight w:val="none"/>
        </w:rPr>
        <w:t>※根据上述资格要求，电子投标文件中应提交的“投标人的资格及资信证明文件”详见招标文件第四章。</w:t>
      </w:r>
    </w:p>
    <w:p w14:paraId="2985902D">
      <w:pPr>
        <w:pStyle w:val="11"/>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7、招标文件的获取</w:t>
      </w:r>
    </w:p>
    <w:p w14:paraId="379C8DBE">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7.1、招标文件获取期限：详见招标公告或更正公告，若不一致，以更正公告为准。</w:t>
      </w:r>
    </w:p>
    <w:p w14:paraId="7C4FAB9B">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1380172D">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7.3、获取地点及方式：注册账号后，通过福建省政府采购网上公开信息系统以下载方式获取。</w:t>
      </w:r>
    </w:p>
    <w:p w14:paraId="1D42347E">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7.4、招标文件售价：0元。</w:t>
      </w:r>
    </w:p>
    <w:p w14:paraId="58656494">
      <w:pPr>
        <w:pStyle w:val="11"/>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8、投标截止</w:t>
      </w:r>
    </w:p>
    <w:p w14:paraId="3115DA75">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8.1、投标截止时间：详见招标公告或更正公告，若不一致，以更正公告为准。</w:t>
      </w:r>
    </w:p>
    <w:p w14:paraId="767A37AF">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15964588">
      <w:pPr>
        <w:pStyle w:val="11"/>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9、开标时间及地点</w:t>
      </w:r>
    </w:p>
    <w:p w14:paraId="22B031E6">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详见招标公告或更正公告，若不一致，以更正公告为准。</w:t>
      </w:r>
    </w:p>
    <w:p w14:paraId="020A31E2">
      <w:pPr>
        <w:pStyle w:val="11"/>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10、公告期限</w:t>
      </w:r>
    </w:p>
    <w:p w14:paraId="68B42423">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10.1、招标公告的公告期限：自财政部和福建省财政厅指定的政府采购信息发布媒体最先发布公告之日起5个工作日。</w:t>
      </w:r>
    </w:p>
    <w:p w14:paraId="1D052AC3">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10.2、招标文件公告期限：招标文件随同招标公告一并发布，其公告期限与招标公告的公告期限保持一致。</w:t>
      </w:r>
    </w:p>
    <w:p w14:paraId="06881855">
      <w:pPr>
        <w:pStyle w:val="11"/>
        <w:ind w:firstLine="480"/>
        <w:jc w:val="left"/>
        <w:outlineLvl w:val="2"/>
        <w:rPr>
          <w:color w:val="auto"/>
          <w:sz w:val="24"/>
          <w:szCs w:val="24"/>
          <w:highlight w:val="none"/>
        </w:rPr>
      </w:pPr>
      <w:r>
        <w:rPr>
          <w:rFonts w:ascii="仿宋_GB2312" w:hAnsi="仿宋_GB2312" w:eastAsia="仿宋_GB2312" w:cs="仿宋_GB2312"/>
          <w:b/>
          <w:color w:val="auto"/>
          <w:sz w:val="24"/>
          <w:szCs w:val="24"/>
          <w:highlight w:val="none"/>
        </w:rPr>
        <w:t>11、采购人：</w:t>
      </w:r>
      <w:r>
        <w:rPr>
          <w:rFonts w:hint="eastAsia" w:ascii="仿宋_GB2312" w:hAnsi="仿宋_GB2312" w:eastAsia="仿宋_GB2312" w:cs="仿宋_GB2312"/>
          <w:b/>
          <w:color w:val="auto"/>
          <w:sz w:val="24"/>
          <w:szCs w:val="24"/>
          <w:highlight w:val="none"/>
        </w:rPr>
        <w:t>厦门市同安区新美街道办事处（行政）</w:t>
      </w:r>
    </w:p>
    <w:p w14:paraId="1F0CC397">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地址： </w:t>
      </w:r>
      <w:r>
        <w:rPr>
          <w:rFonts w:hint="eastAsia" w:ascii="仿宋_GB2312" w:hAnsi="仿宋_GB2312" w:eastAsia="仿宋_GB2312" w:cs="仿宋_GB2312"/>
          <w:color w:val="auto"/>
          <w:sz w:val="24"/>
          <w:szCs w:val="24"/>
          <w:highlight w:val="none"/>
        </w:rPr>
        <w:t>福建省厦门市同安区思明园1号</w:t>
      </w:r>
    </w:p>
    <w:p w14:paraId="32B0A01C">
      <w:pPr>
        <w:pStyle w:val="11"/>
        <w:jc w:val="left"/>
        <w:rPr>
          <w:rFonts w:hint="eastAsia" w:eastAsia="仿宋_GB2312"/>
          <w:color w:val="auto"/>
          <w:sz w:val="24"/>
          <w:szCs w:val="24"/>
          <w:highlight w:val="none"/>
          <w:lang w:eastAsia="zh-CN"/>
        </w:rPr>
      </w:pPr>
      <w:r>
        <w:rPr>
          <w:rFonts w:ascii="仿宋_GB2312" w:hAnsi="仿宋_GB2312" w:eastAsia="仿宋_GB2312" w:cs="仿宋_GB2312"/>
          <w:color w:val="auto"/>
          <w:sz w:val="24"/>
          <w:szCs w:val="24"/>
          <w:highlight w:val="none"/>
        </w:rPr>
        <w:t xml:space="preserve"> 邮编：</w:t>
      </w:r>
      <w:r>
        <w:rPr>
          <w:rFonts w:hint="eastAsia" w:ascii="仿宋_GB2312" w:hAnsi="仿宋_GB2312" w:eastAsia="仿宋_GB2312" w:cs="仿宋_GB2312"/>
          <w:color w:val="auto"/>
          <w:sz w:val="24"/>
          <w:szCs w:val="24"/>
          <w:highlight w:val="none"/>
          <w:lang w:val="en-US" w:eastAsia="zh-CN"/>
        </w:rPr>
        <w:t>/</w:t>
      </w:r>
    </w:p>
    <w:p w14:paraId="283C884F">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联系人： </w:t>
      </w:r>
      <w:r>
        <w:rPr>
          <w:rFonts w:hint="eastAsia" w:ascii="仿宋_GB2312" w:hAnsi="仿宋_GB2312" w:eastAsia="仿宋_GB2312" w:cs="仿宋_GB2312"/>
          <w:color w:val="auto"/>
          <w:sz w:val="24"/>
          <w:szCs w:val="24"/>
          <w:highlight w:val="none"/>
        </w:rPr>
        <w:t>柯受良</w:t>
      </w:r>
    </w:p>
    <w:p w14:paraId="70345320">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联系电话：</w:t>
      </w:r>
      <w:r>
        <w:rPr>
          <w:rFonts w:hint="eastAsia" w:ascii="仿宋_GB2312" w:hAnsi="仿宋_GB2312" w:eastAsia="仿宋_GB2312" w:cs="仿宋_GB2312"/>
          <w:color w:val="auto"/>
          <w:sz w:val="24"/>
          <w:szCs w:val="24"/>
          <w:highlight w:val="none"/>
        </w:rPr>
        <w:t>15959276876</w:t>
      </w:r>
    </w:p>
    <w:p w14:paraId="093909CE">
      <w:pPr>
        <w:pStyle w:val="11"/>
        <w:ind w:firstLine="480"/>
        <w:jc w:val="left"/>
        <w:outlineLvl w:val="2"/>
        <w:rPr>
          <w:rFonts w:hint="eastAsia" w:eastAsia="仿宋_GB2312"/>
          <w:color w:val="auto"/>
          <w:sz w:val="24"/>
          <w:szCs w:val="24"/>
          <w:highlight w:val="none"/>
          <w:lang w:eastAsia="zh-CN"/>
        </w:rPr>
      </w:pPr>
      <w:r>
        <w:rPr>
          <w:rFonts w:ascii="仿宋_GB2312" w:hAnsi="仿宋_GB2312" w:eastAsia="仿宋_GB2312" w:cs="仿宋_GB2312"/>
          <w:b/>
          <w:color w:val="auto"/>
          <w:sz w:val="24"/>
          <w:szCs w:val="24"/>
          <w:highlight w:val="none"/>
        </w:rPr>
        <w:t>12、代理机构：</w:t>
      </w:r>
      <w:r>
        <w:rPr>
          <w:rFonts w:hint="eastAsia" w:ascii="仿宋_GB2312" w:hAnsi="仿宋_GB2312" w:eastAsia="仿宋_GB2312" w:cs="仿宋_GB2312"/>
          <w:b/>
          <w:color w:val="auto"/>
          <w:sz w:val="24"/>
          <w:szCs w:val="24"/>
          <w:highlight w:val="none"/>
          <w:lang w:eastAsia="zh-CN"/>
        </w:rPr>
        <w:t>厦门住总建设有限公司</w:t>
      </w:r>
    </w:p>
    <w:p w14:paraId="4AED1874">
      <w:pPr>
        <w:pStyle w:val="11"/>
        <w:ind w:firstLine="960"/>
        <w:jc w:val="both"/>
        <w:rPr>
          <w:color w:val="auto"/>
          <w:sz w:val="24"/>
          <w:szCs w:val="24"/>
          <w:highlight w:val="none"/>
        </w:rPr>
      </w:pPr>
      <w:r>
        <w:rPr>
          <w:rFonts w:ascii="仿宋_GB2312" w:hAnsi="仿宋_GB2312" w:eastAsia="仿宋_GB2312" w:cs="仿宋_GB2312"/>
          <w:color w:val="auto"/>
          <w:sz w:val="24"/>
          <w:szCs w:val="24"/>
          <w:highlight w:val="none"/>
        </w:rPr>
        <w:t xml:space="preserve"> 地址： </w:t>
      </w:r>
      <w:r>
        <w:rPr>
          <w:rFonts w:hint="eastAsia" w:ascii="仿宋_GB2312" w:hAnsi="仿宋_GB2312" w:eastAsia="仿宋_GB2312" w:cs="仿宋_GB2312"/>
          <w:color w:val="auto"/>
          <w:sz w:val="24"/>
          <w:szCs w:val="24"/>
          <w:highlight w:val="none"/>
        </w:rPr>
        <w:t>厦门市思明区湖滨北路10号2C1单元</w:t>
      </w:r>
    </w:p>
    <w:p w14:paraId="7C24B200">
      <w:pPr>
        <w:pStyle w:val="11"/>
        <w:jc w:val="both"/>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邮编： 361000</w:t>
      </w:r>
    </w:p>
    <w:p w14:paraId="3A005BFD">
      <w:pPr>
        <w:pStyle w:val="1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联系人： 陈琼霓      </w:t>
      </w:r>
    </w:p>
    <w:p w14:paraId="6FCAE66E">
      <w:pPr>
        <w:pStyle w:val="11"/>
        <w:jc w:val="both"/>
        <w:rPr>
          <w:color w:val="auto"/>
          <w:sz w:val="24"/>
          <w:szCs w:val="24"/>
          <w:highlight w:val="none"/>
        </w:rPr>
      </w:pPr>
      <w:r>
        <w:rPr>
          <w:rFonts w:hint="eastAsia" w:ascii="仿宋_GB2312" w:hAnsi="仿宋_GB2312" w:eastAsia="仿宋_GB2312" w:cs="仿宋_GB2312"/>
          <w:color w:val="auto"/>
          <w:sz w:val="24"/>
          <w:szCs w:val="24"/>
          <w:highlight w:val="none"/>
        </w:rPr>
        <w:t xml:space="preserve"> 联系电话：18259252336</w:t>
      </w:r>
    </w:p>
    <w:p w14:paraId="4A09987B">
      <w:pPr>
        <w:pStyle w:val="11"/>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附1：账户信息</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1ED6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A59F1C8">
            <w:pPr>
              <w:pStyle w:val="11"/>
              <w:jc w:val="left"/>
              <w:rPr>
                <w:color w:val="auto"/>
                <w:sz w:val="24"/>
                <w:szCs w:val="24"/>
                <w:highlight w:val="none"/>
              </w:rPr>
            </w:pPr>
            <w:r>
              <w:rPr>
                <w:rFonts w:ascii="仿宋_GB2312" w:hAnsi="仿宋_GB2312" w:eastAsia="仿宋_GB2312" w:cs="仿宋_GB2312"/>
                <w:color w:val="auto"/>
                <w:sz w:val="24"/>
                <w:szCs w:val="24"/>
                <w:highlight w:val="none"/>
              </w:rPr>
              <w:t>投标保证金账户</w:t>
            </w:r>
          </w:p>
          <w:p w14:paraId="0A970F7B">
            <w:pPr>
              <w:pStyle w:val="11"/>
              <w:jc w:val="left"/>
              <w:rPr>
                <w:color w:val="auto"/>
                <w:sz w:val="24"/>
                <w:szCs w:val="24"/>
                <w:highlight w:val="none"/>
              </w:rPr>
            </w:pPr>
          </w:p>
        </w:tc>
      </w:tr>
      <w:tr w14:paraId="64FA4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0AFC78">
            <w:pPr>
              <w:pStyle w:val="11"/>
              <w:jc w:val="left"/>
              <w:rPr>
                <w:rFonts w:hint="eastAsia" w:eastAsia="仿宋_GB2312"/>
                <w:color w:val="auto"/>
                <w:sz w:val="24"/>
                <w:szCs w:val="24"/>
                <w:highlight w:val="none"/>
                <w:lang w:eastAsia="zh-CN"/>
              </w:rPr>
            </w:pPr>
            <w:r>
              <w:rPr>
                <w:rFonts w:ascii="仿宋_GB2312" w:hAnsi="仿宋_GB2312" w:eastAsia="仿宋_GB2312" w:cs="仿宋_GB2312"/>
                <w:color w:val="auto"/>
                <w:sz w:val="24"/>
                <w:szCs w:val="24"/>
                <w:highlight w:val="none"/>
              </w:rPr>
              <w:t xml:space="preserve">开户名称： </w:t>
            </w:r>
            <w:r>
              <w:rPr>
                <w:rFonts w:hint="eastAsia" w:ascii="仿宋_GB2312" w:hAnsi="仿宋_GB2312" w:eastAsia="仿宋_GB2312" w:cs="仿宋_GB2312"/>
                <w:color w:val="auto"/>
                <w:sz w:val="24"/>
                <w:szCs w:val="24"/>
                <w:highlight w:val="none"/>
                <w:lang w:eastAsia="zh-CN"/>
              </w:rPr>
              <w:t>厦门住总建设有限公司</w:t>
            </w:r>
          </w:p>
        </w:tc>
      </w:tr>
      <w:tr w14:paraId="610A4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EB8360">
            <w:pPr>
              <w:pStyle w:val="11"/>
              <w:jc w:val="left"/>
              <w:rPr>
                <w:color w:val="auto"/>
                <w:sz w:val="24"/>
                <w:szCs w:val="24"/>
                <w:highlight w:val="none"/>
              </w:rPr>
            </w:pPr>
            <w:r>
              <w:rPr>
                <w:rFonts w:ascii="仿宋_GB2312" w:hAnsi="仿宋_GB2312" w:eastAsia="仿宋_GB2312" w:cs="仿宋_GB2312"/>
                <w:color w:val="auto"/>
                <w:sz w:val="24"/>
                <w:szCs w:val="24"/>
                <w:highlight w:val="none"/>
              </w:rPr>
              <w:t>开户银行：供应商在福建省政府采购网上公开信息系统获取招标文件后，根据其提示自行选择要缴交的投标保证金托管银行。</w:t>
            </w:r>
          </w:p>
        </w:tc>
      </w:tr>
      <w:tr w14:paraId="4FBF9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8DAF94">
            <w:pPr>
              <w:pStyle w:val="11"/>
              <w:jc w:val="left"/>
              <w:rPr>
                <w:color w:val="auto"/>
                <w:sz w:val="24"/>
                <w:szCs w:val="24"/>
                <w:highlight w:val="none"/>
              </w:rPr>
            </w:pPr>
            <w:r>
              <w:rPr>
                <w:rFonts w:ascii="仿宋_GB2312" w:hAnsi="仿宋_GB2312" w:eastAsia="仿宋_GB2312" w:cs="仿宋_GB2312"/>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2DC5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D034596">
            <w:pPr>
              <w:pStyle w:val="11"/>
              <w:jc w:val="left"/>
              <w:rPr>
                <w:color w:val="auto"/>
                <w:sz w:val="24"/>
                <w:szCs w:val="24"/>
                <w:highlight w:val="none"/>
              </w:rPr>
            </w:pPr>
            <w:r>
              <w:rPr>
                <w:rFonts w:ascii="仿宋_GB2312" w:hAnsi="仿宋_GB2312" w:eastAsia="仿宋_GB2312" w:cs="仿宋_GB2312"/>
                <w:color w:val="auto"/>
                <w:sz w:val="24"/>
                <w:szCs w:val="24"/>
                <w:highlight w:val="none"/>
              </w:rPr>
              <w:t>特别提示</w:t>
            </w:r>
          </w:p>
        </w:tc>
      </w:tr>
      <w:tr w14:paraId="23B62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6F1B22C">
            <w:pPr>
              <w:pStyle w:val="11"/>
              <w:jc w:val="left"/>
              <w:rPr>
                <w:color w:val="auto"/>
                <w:sz w:val="24"/>
                <w:szCs w:val="24"/>
                <w:highlight w:val="none"/>
              </w:rPr>
            </w:pPr>
            <w:r>
              <w:rPr>
                <w:rFonts w:ascii="仿宋_GB2312" w:hAnsi="仿宋_GB2312" w:eastAsia="仿宋_GB2312" w:cs="仿宋_GB2312"/>
                <w:color w:val="auto"/>
                <w:sz w:val="24"/>
                <w:szCs w:val="24"/>
                <w:highlight w:val="none"/>
              </w:rPr>
              <w:t>1、投标人应认真核对账户信息，将投标保证金汇入以上账户，并自行承担因汇错投标保证金而产生的一切后果。</w:t>
            </w:r>
          </w:p>
          <w:p w14:paraId="4B7CB1E6">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2、投标人在转账或电汇的凭证上应按照以下格式注明，以便核对：“（项目编号：***）的投标保证金”。</w:t>
            </w:r>
          </w:p>
        </w:tc>
      </w:tr>
    </w:tbl>
    <w:p w14:paraId="2441E22E">
      <w:pPr>
        <w:pStyle w:val="11"/>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附2：采购标的一览表</w:t>
      </w:r>
    </w:p>
    <w:p w14:paraId="322947F3">
      <w:pPr>
        <w:pStyle w:val="11"/>
        <w:jc w:val="left"/>
        <w:rPr>
          <w:color w:val="auto"/>
          <w:sz w:val="24"/>
          <w:szCs w:val="24"/>
          <w:highlight w:val="none"/>
        </w:rPr>
      </w:pPr>
      <w:r>
        <w:rPr>
          <w:rFonts w:ascii="仿宋_GB2312" w:hAnsi="仿宋_GB2312" w:eastAsia="仿宋_GB2312" w:cs="仿宋_GB2312"/>
          <w:color w:val="auto"/>
          <w:sz w:val="24"/>
          <w:szCs w:val="24"/>
          <w:highlight w:val="none"/>
        </w:rPr>
        <w:t>采购包1：</w:t>
      </w:r>
    </w:p>
    <w:p w14:paraId="2F6D9843">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采购包预算金额（元）: </w:t>
      </w: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00,000.00</w:t>
      </w:r>
    </w:p>
    <w:p w14:paraId="46E938DD">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采购包最高限价（元）: </w:t>
      </w: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00,000.00</w:t>
      </w:r>
    </w:p>
    <w:p w14:paraId="6C143C89">
      <w:pPr>
        <w:pStyle w:val="11"/>
        <w:jc w:val="left"/>
        <w:rPr>
          <w:color w:val="auto"/>
          <w:sz w:val="24"/>
          <w:szCs w:val="24"/>
          <w:highlight w:val="none"/>
        </w:rPr>
      </w:pPr>
      <w:r>
        <w:rPr>
          <w:rFonts w:ascii="仿宋_GB2312" w:hAnsi="仿宋_GB2312" w:eastAsia="仿宋_GB2312" w:cs="仿宋_GB2312"/>
          <w:color w:val="auto"/>
          <w:sz w:val="24"/>
          <w:szCs w:val="24"/>
          <w:highlight w:val="none"/>
        </w:rPr>
        <w:t>采购包保证金金额（元）: 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3"/>
        <w:gridCol w:w="2043"/>
        <w:gridCol w:w="723"/>
        <w:gridCol w:w="1656"/>
        <w:gridCol w:w="906"/>
        <w:gridCol w:w="1372"/>
        <w:gridCol w:w="1139"/>
      </w:tblGrid>
      <w:tr w14:paraId="78CA8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3" w:type="dxa"/>
          </w:tcPr>
          <w:p w14:paraId="3E0C0D99">
            <w:pPr>
              <w:pStyle w:val="11"/>
              <w:jc w:val="left"/>
              <w:rPr>
                <w:color w:val="auto"/>
                <w:sz w:val="24"/>
                <w:szCs w:val="24"/>
                <w:highlight w:val="none"/>
              </w:rPr>
            </w:pPr>
            <w:r>
              <w:rPr>
                <w:rFonts w:ascii="仿宋_GB2312" w:hAnsi="仿宋_GB2312" w:eastAsia="仿宋_GB2312" w:cs="仿宋_GB2312"/>
                <w:color w:val="auto"/>
                <w:sz w:val="24"/>
                <w:szCs w:val="24"/>
                <w:highlight w:val="none"/>
              </w:rPr>
              <w:t>序号</w:t>
            </w:r>
          </w:p>
        </w:tc>
        <w:tc>
          <w:tcPr>
            <w:tcW w:w="2043" w:type="dxa"/>
          </w:tcPr>
          <w:p w14:paraId="3B1A3FC6">
            <w:pPr>
              <w:pStyle w:val="11"/>
              <w:jc w:val="left"/>
              <w:rPr>
                <w:color w:val="auto"/>
                <w:sz w:val="24"/>
                <w:szCs w:val="24"/>
                <w:highlight w:val="none"/>
              </w:rPr>
            </w:pPr>
            <w:r>
              <w:rPr>
                <w:rFonts w:ascii="仿宋_GB2312" w:hAnsi="仿宋_GB2312" w:eastAsia="仿宋_GB2312" w:cs="仿宋_GB2312"/>
                <w:color w:val="auto"/>
                <w:sz w:val="24"/>
                <w:szCs w:val="24"/>
                <w:highlight w:val="none"/>
              </w:rPr>
              <w:t>标的名称</w:t>
            </w:r>
          </w:p>
        </w:tc>
        <w:tc>
          <w:tcPr>
            <w:tcW w:w="723" w:type="dxa"/>
          </w:tcPr>
          <w:p w14:paraId="7EB7D9C8">
            <w:pPr>
              <w:pStyle w:val="11"/>
              <w:jc w:val="left"/>
              <w:rPr>
                <w:color w:val="auto"/>
                <w:sz w:val="24"/>
                <w:szCs w:val="24"/>
                <w:highlight w:val="none"/>
              </w:rPr>
            </w:pPr>
            <w:r>
              <w:rPr>
                <w:rFonts w:ascii="仿宋_GB2312" w:hAnsi="仿宋_GB2312" w:eastAsia="仿宋_GB2312" w:cs="仿宋_GB2312"/>
                <w:color w:val="auto"/>
                <w:sz w:val="24"/>
                <w:szCs w:val="24"/>
                <w:highlight w:val="none"/>
              </w:rPr>
              <w:t>数量</w:t>
            </w:r>
          </w:p>
        </w:tc>
        <w:tc>
          <w:tcPr>
            <w:tcW w:w="1656" w:type="dxa"/>
          </w:tcPr>
          <w:p w14:paraId="07C033C3">
            <w:pPr>
              <w:pStyle w:val="11"/>
              <w:jc w:val="left"/>
              <w:rPr>
                <w:color w:val="auto"/>
                <w:sz w:val="24"/>
                <w:szCs w:val="24"/>
                <w:highlight w:val="none"/>
              </w:rPr>
            </w:pPr>
            <w:r>
              <w:rPr>
                <w:rFonts w:ascii="仿宋_GB2312" w:hAnsi="仿宋_GB2312" w:eastAsia="仿宋_GB2312" w:cs="仿宋_GB2312"/>
                <w:color w:val="auto"/>
                <w:sz w:val="24"/>
                <w:szCs w:val="24"/>
                <w:highlight w:val="none"/>
              </w:rPr>
              <w:t>标的金额 （元）</w:t>
            </w:r>
          </w:p>
        </w:tc>
        <w:tc>
          <w:tcPr>
            <w:tcW w:w="906" w:type="dxa"/>
          </w:tcPr>
          <w:p w14:paraId="76018973">
            <w:pPr>
              <w:pStyle w:val="11"/>
              <w:jc w:val="left"/>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1372" w:type="dxa"/>
          </w:tcPr>
          <w:p w14:paraId="58BC27BD">
            <w:pPr>
              <w:pStyle w:val="11"/>
              <w:jc w:val="left"/>
              <w:rPr>
                <w:color w:val="auto"/>
                <w:sz w:val="24"/>
                <w:szCs w:val="24"/>
                <w:highlight w:val="none"/>
              </w:rPr>
            </w:pPr>
            <w:r>
              <w:rPr>
                <w:rFonts w:ascii="仿宋_GB2312" w:hAnsi="仿宋_GB2312" w:eastAsia="仿宋_GB2312" w:cs="仿宋_GB2312"/>
                <w:color w:val="auto"/>
                <w:sz w:val="24"/>
                <w:szCs w:val="24"/>
                <w:highlight w:val="none"/>
              </w:rPr>
              <w:t>所属行业</w:t>
            </w:r>
          </w:p>
        </w:tc>
        <w:tc>
          <w:tcPr>
            <w:tcW w:w="1139" w:type="dxa"/>
          </w:tcPr>
          <w:p w14:paraId="22FC12A3">
            <w:pPr>
              <w:pStyle w:val="11"/>
              <w:jc w:val="left"/>
              <w:rPr>
                <w:color w:val="auto"/>
                <w:sz w:val="24"/>
                <w:szCs w:val="24"/>
                <w:highlight w:val="none"/>
              </w:rPr>
            </w:pPr>
            <w:r>
              <w:rPr>
                <w:rFonts w:ascii="仿宋_GB2312" w:hAnsi="仿宋_GB2312" w:eastAsia="仿宋_GB2312" w:cs="仿宋_GB2312"/>
                <w:color w:val="auto"/>
                <w:sz w:val="24"/>
                <w:szCs w:val="24"/>
                <w:highlight w:val="none"/>
              </w:rPr>
              <w:t>是否允许进口产品</w:t>
            </w:r>
          </w:p>
        </w:tc>
      </w:tr>
      <w:tr w14:paraId="0130D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3" w:type="dxa"/>
          </w:tcPr>
          <w:p w14:paraId="06393A8C">
            <w:pPr>
              <w:pStyle w:val="11"/>
              <w:jc w:val="left"/>
              <w:rPr>
                <w:color w:val="auto"/>
                <w:sz w:val="24"/>
                <w:szCs w:val="24"/>
                <w:highlight w:val="none"/>
              </w:rPr>
            </w:pPr>
            <w:r>
              <w:rPr>
                <w:rFonts w:ascii="仿宋_GB2312" w:hAnsi="仿宋_GB2312" w:eastAsia="仿宋_GB2312" w:cs="仿宋_GB2312"/>
                <w:color w:val="auto"/>
                <w:sz w:val="24"/>
                <w:szCs w:val="24"/>
                <w:highlight w:val="none"/>
              </w:rPr>
              <w:t>1</w:t>
            </w:r>
          </w:p>
        </w:tc>
        <w:tc>
          <w:tcPr>
            <w:tcW w:w="2043" w:type="dxa"/>
          </w:tcPr>
          <w:p w14:paraId="5FD1B7B6">
            <w:pPr>
              <w:pStyle w:val="11"/>
              <w:jc w:val="left"/>
              <w:rPr>
                <w:rFonts w:hint="eastAsia" w:eastAsiaTheme="minorEastAsia"/>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2026年新美街道农村一体化保洁</w:t>
            </w:r>
          </w:p>
        </w:tc>
        <w:tc>
          <w:tcPr>
            <w:tcW w:w="723" w:type="dxa"/>
          </w:tcPr>
          <w:p w14:paraId="491AFB02">
            <w:pPr>
              <w:pStyle w:val="11"/>
              <w:jc w:val="right"/>
              <w:rPr>
                <w:color w:val="auto"/>
                <w:sz w:val="24"/>
                <w:szCs w:val="24"/>
                <w:highlight w:val="none"/>
              </w:rPr>
            </w:pPr>
            <w:r>
              <w:rPr>
                <w:rFonts w:ascii="仿宋_GB2312" w:hAnsi="仿宋_GB2312" w:eastAsia="仿宋_GB2312" w:cs="仿宋_GB2312"/>
                <w:color w:val="auto"/>
                <w:sz w:val="24"/>
                <w:szCs w:val="24"/>
                <w:highlight w:val="none"/>
              </w:rPr>
              <w:t>1.00</w:t>
            </w:r>
          </w:p>
        </w:tc>
        <w:tc>
          <w:tcPr>
            <w:tcW w:w="1656" w:type="dxa"/>
          </w:tcPr>
          <w:p w14:paraId="5E6C76EE">
            <w:pPr>
              <w:pStyle w:val="11"/>
              <w:jc w:val="right"/>
              <w:rPr>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00,000.00</w:t>
            </w:r>
          </w:p>
        </w:tc>
        <w:tc>
          <w:tcPr>
            <w:tcW w:w="906" w:type="dxa"/>
          </w:tcPr>
          <w:p w14:paraId="55C5709E">
            <w:pPr>
              <w:pStyle w:val="11"/>
              <w:jc w:val="left"/>
              <w:rPr>
                <w:color w:val="auto"/>
                <w:sz w:val="24"/>
                <w:szCs w:val="24"/>
                <w:highlight w:val="none"/>
              </w:rPr>
            </w:pPr>
            <w:r>
              <w:rPr>
                <w:rFonts w:ascii="仿宋_GB2312" w:hAnsi="仿宋_GB2312" w:eastAsia="仿宋_GB2312" w:cs="仿宋_GB2312"/>
                <w:color w:val="auto"/>
                <w:sz w:val="24"/>
                <w:szCs w:val="24"/>
                <w:highlight w:val="none"/>
              </w:rPr>
              <w:t>项</w:t>
            </w:r>
          </w:p>
        </w:tc>
        <w:tc>
          <w:tcPr>
            <w:tcW w:w="1372" w:type="dxa"/>
          </w:tcPr>
          <w:p w14:paraId="047AF397">
            <w:pPr>
              <w:pStyle w:val="11"/>
              <w:jc w:val="left"/>
              <w:rPr>
                <w:color w:val="auto"/>
                <w:sz w:val="24"/>
                <w:szCs w:val="24"/>
                <w:highlight w:val="none"/>
              </w:rPr>
            </w:pPr>
            <w:r>
              <w:rPr>
                <w:rFonts w:hint="eastAsia"/>
                <w:color w:val="auto"/>
                <w:sz w:val="24"/>
                <w:szCs w:val="24"/>
                <w:highlight w:val="none"/>
              </w:rPr>
              <w:t>其他未列明行业</w:t>
            </w:r>
          </w:p>
        </w:tc>
        <w:tc>
          <w:tcPr>
            <w:tcW w:w="1139" w:type="dxa"/>
          </w:tcPr>
          <w:p w14:paraId="588D23BB">
            <w:pPr>
              <w:pStyle w:val="11"/>
              <w:jc w:val="left"/>
              <w:rPr>
                <w:color w:val="auto"/>
                <w:sz w:val="24"/>
                <w:szCs w:val="24"/>
                <w:highlight w:val="none"/>
              </w:rPr>
            </w:pPr>
            <w:r>
              <w:rPr>
                <w:rFonts w:ascii="仿宋_GB2312" w:hAnsi="仿宋_GB2312" w:eastAsia="仿宋_GB2312" w:cs="仿宋_GB2312"/>
                <w:color w:val="auto"/>
                <w:sz w:val="24"/>
                <w:szCs w:val="24"/>
                <w:highlight w:val="none"/>
              </w:rPr>
              <w:t>否</w:t>
            </w:r>
          </w:p>
        </w:tc>
      </w:tr>
    </w:tbl>
    <w:p w14:paraId="29E88809">
      <w:pPr>
        <w:pStyle w:val="11"/>
        <w:jc w:val="left"/>
        <w:rPr>
          <w:color w:val="auto"/>
          <w:sz w:val="24"/>
          <w:szCs w:val="24"/>
          <w:highlight w:val="none"/>
        </w:rPr>
      </w:pPr>
      <w:r>
        <w:rPr>
          <w:rFonts w:ascii="仿宋_GB2312" w:hAnsi="仿宋_GB2312" w:eastAsia="仿宋_GB2312" w:cs="仿宋_GB2312"/>
          <w:color w:val="auto"/>
          <w:sz w:val="24"/>
          <w:szCs w:val="24"/>
          <w:highlight w:val="none"/>
        </w:rPr>
        <w:t>采购包1：</w:t>
      </w:r>
    </w:p>
    <w:p w14:paraId="23CB79F4">
      <w:pPr>
        <w:pStyle w:val="11"/>
        <w:jc w:val="left"/>
        <w:rPr>
          <w:color w:val="auto"/>
          <w:sz w:val="24"/>
          <w:szCs w:val="24"/>
          <w:highlight w:val="none"/>
        </w:rPr>
      </w:pPr>
      <w:r>
        <w:rPr>
          <w:rFonts w:ascii="仿宋_GB2312" w:hAnsi="仿宋_GB2312" w:eastAsia="仿宋_GB2312" w:cs="仿宋_GB2312"/>
          <w:color w:val="auto"/>
          <w:sz w:val="24"/>
          <w:szCs w:val="24"/>
          <w:highlight w:val="none"/>
        </w:rPr>
        <w:t>（1）报价要求：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98"/>
        <w:gridCol w:w="1143"/>
        <w:gridCol w:w="909"/>
        <w:gridCol w:w="1656"/>
        <w:gridCol w:w="1346"/>
        <w:gridCol w:w="1014"/>
      </w:tblGrid>
      <w:tr w14:paraId="0B33A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90549CA">
            <w:pPr>
              <w:pStyle w:val="11"/>
              <w:jc w:val="left"/>
              <w:rPr>
                <w:color w:val="auto"/>
                <w:sz w:val="24"/>
                <w:szCs w:val="24"/>
                <w:highlight w:val="none"/>
              </w:rPr>
            </w:pPr>
            <w:r>
              <w:rPr>
                <w:rFonts w:ascii="仿宋_GB2312" w:hAnsi="仿宋_GB2312" w:eastAsia="仿宋_GB2312" w:cs="仿宋_GB2312"/>
                <w:color w:val="auto"/>
                <w:sz w:val="24"/>
                <w:szCs w:val="24"/>
                <w:highlight w:val="none"/>
              </w:rPr>
              <w:t>序号</w:t>
            </w:r>
          </w:p>
        </w:tc>
        <w:tc>
          <w:tcPr>
            <w:tcW w:w="1998" w:type="dxa"/>
          </w:tcPr>
          <w:p w14:paraId="61E9944A">
            <w:pPr>
              <w:pStyle w:val="11"/>
              <w:jc w:val="left"/>
              <w:rPr>
                <w:color w:val="auto"/>
                <w:sz w:val="24"/>
                <w:szCs w:val="24"/>
                <w:highlight w:val="none"/>
              </w:rPr>
            </w:pPr>
            <w:r>
              <w:rPr>
                <w:rFonts w:ascii="仿宋_GB2312" w:hAnsi="仿宋_GB2312" w:eastAsia="仿宋_GB2312" w:cs="仿宋_GB2312"/>
                <w:color w:val="auto"/>
                <w:sz w:val="24"/>
                <w:szCs w:val="24"/>
                <w:highlight w:val="none"/>
              </w:rPr>
              <w:t>报价内容</w:t>
            </w:r>
          </w:p>
        </w:tc>
        <w:tc>
          <w:tcPr>
            <w:tcW w:w="1143" w:type="dxa"/>
          </w:tcPr>
          <w:p w14:paraId="4DABB30F">
            <w:pPr>
              <w:pStyle w:val="11"/>
              <w:jc w:val="left"/>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909" w:type="dxa"/>
          </w:tcPr>
          <w:p w14:paraId="5C8E8C6E">
            <w:pPr>
              <w:pStyle w:val="11"/>
              <w:jc w:val="left"/>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656" w:type="dxa"/>
          </w:tcPr>
          <w:p w14:paraId="12611420">
            <w:pPr>
              <w:pStyle w:val="11"/>
              <w:jc w:val="left"/>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1346" w:type="dxa"/>
          </w:tcPr>
          <w:p w14:paraId="1307BC08">
            <w:pPr>
              <w:pStyle w:val="11"/>
              <w:jc w:val="left"/>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014" w:type="dxa"/>
          </w:tcPr>
          <w:p w14:paraId="10EC909C">
            <w:pPr>
              <w:pStyle w:val="11"/>
              <w:jc w:val="left"/>
              <w:rPr>
                <w:color w:val="auto"/>
                <w:sz w:val="24"/>
                <w:szCs w:val="24"/>
                <w:highlight w:val="none"/>
              </w:rPr>
            </w:pPr>
            <w:r>
              <w:rPr>
                <w:rFonts w:ascii="仿宋_GB2312" w:hAnsi="仿宋_GB2312" w:eastAsia="仿宋_GB2312" w:cs="仿宋_GB2312"/>
                <w:color w:val="auto"/>
                <w:sz w:val="24"/>
                <w:szCs w:val="24"/>
                <w:highlight w:val="none"/>
              </w:rPr>
              <w:t>报价说明</w:t>
            </w:r>
          </w:p>
        </w:tc>
      </w:tr>
      <w:tr w14:paraId="0BAEB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AC3C993">
            <w:pPr>
              <w:pStyle w:val="11"/>
              <w:jc w:val="left"/>
              <w:rPr>
                <w:color w:val="auto"/>
                <w:sz w:val="24"/>
                <w:szCs w:val="24"/>
                <w:highlight w:val="none"/>
              </w:rPr>
            </w:pPr>
            <w:r>
              <w:rPr>
                <w:rFonts w:ascii="仿宋_GB2312" w:hAnsi="仿宋_GB2312" w:eastAsia="仿宋_GB2312" w:cs="仿宋_GB2312"/>
                <w:color w:val="auto"/>
                <w:sz w:val="24"/>
                <w:szCs w:val="24"/>
                <w:highlight w:val="none"/>
              </w:rPr>
              <w:t>1</w:t>
            </w:r>
          </w:p>
        </w:tc>
        <w:tc>
          <w:tcPr>
            <w:tcW w:w="1998" w:type="dxa"/>
          </w:tcPr>
          <w:p w14:paraId="3111D293">
            <w:pPr>
              <w:pStyle w:val="11"/>
              <w:jc w:val="left"/>
              <w:rPr>
                <w:rFonts w:hint="eastAsia" w:eastAsiaTheme="minorEastAsia"/>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2026年新美街道农村一体化保洁</w:t>
            </w:r>
          </w:p>
        </w:tc>
        <w:tc>
          <w:tcPr>
            <w:tcW w:w="1143" w:type="dxa"/>
          </w:tcPr>
          <w:p w14:paraId="5794CAB5">
            <w:pPr>
              <w:pStyle w:val="11"/>
              <w:jc w:val="left"/>
              <w:rPr>
                <w:color w:val="auto"/>
                <w:sz w:val="24"/>
                <w:szCs w:val="24"/>
                <w:highlight w:val="none"/>
              </w:rPr>
            </w:pPr>
            <w:r>
              <w:rPr>
                <w:rFonts w:ascii="仿宋_GB2312" w:hAnsi="仿宋_GB2312" w:eastAsia="仿宋_GB2312" w:cs="仿宋_GB2312"/>
                <w:color w:val="auto"/>
                <w:sz w:val="24"/>
                <w:szCs w:val="24"/>
                <w:highlight w:val="none"/>
              </w:rPr>
              <w:t>项</w:t>
            </w:r>
          </w:p>
        </w:tc>
        <w:tc>
          <w:tcPr>
            <w:tcW w:w="909" w:type="dxa"/>
          </w:tcPr>
          <w:p w14:paraId="5A9B8BFA">
            <w:pPr>
              <w:pStyle w:val="11"/>
              <w:jc w:val="left"/>
              <w:rPr>
                <w:color w:val="auto"/>
                <w:sz w:val="24"/>
                <w:szCs w:val="24"/>
                <w:highlight w:val="none"/>
              </w:rPr>
            </w:pPr>
            <w:r>
              <w:rPr>
                <w:rFonts w:ascii="仿宋_GB2312" w:hAnsi="仿宋_GB2312" w:eastAsia="仿宋_GB2312" w:cs="仿宋_GB2312"/>
                <w:color w:val="auto"/>
                <w:sz w:val="24"/>
                <w:szCs w:val="24"/>
                <w:highlight w:val="none"/>
              </w:rPr>
              <w:t>元</w:t>
            </w:r>
          </w:p>
        </w:tc>
        <w:tc>
          <w:tcPr>
            <w:tcW w:w="1656" w:type="dxa"/>
          </w:tcPr>
          <w:p w14:paraId="2036B391">
            <w:pPr>
              <w:pStyle w:val="11"/>
              <w:jc w:val="right"/>
              <w:rPr>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00,000.00</w:t>
            </w:r>
          </w:p>
        </w:tc>
        <w:tc>
          <w:tcPr>
            <w:tcW w:w="1346" w:type="dxa"/>
          </w:tcPr>
          <w:p w14:paraId="31FC4AA4">
            <w:pPr>
              <w:pStyle w:val="11"/>
              <w:jc w:val="left"/>
              <w:rPr>
                <w:color w:val="auto"/>
                <w:sz w:val="24"/>
                <w:szCs w:val="24"/>
                <w:highlight w:val="none"/>
              </w:rPr>
            </w:pPr>
            <w:r>
              <w:rPr>
                <w:rFonts w:ascii="仿宋_GB2312" w:hAnsi="仿宋_GB2312" w:eastAsia="仿宋_GB2312" w:cs="仿宋_GB2312"/>
                <w:color w:val="auto"/>
                <w:sz w:val="24"/>
                <w:szCs w:val="24"/>
                <w:highlight w:val="none"/>
              </w:rPr>
              <w:t>总价</w:t>
            </w:r>
          </w:p>
        </w:tc>
        <w:tc>
          <w:tcPr>
            <w:tcW w:w="1014" w:type="dxa"/>
          </w:tcPr>
          <w:p w14:paraId="4E736AA6">
            <w:pPr>
              <w:pStyle w:val="11"/>
              <w:jc w:val="left"/>
              <w:rPr>
                <w:color w:val="auto"/>
                <w:sz w:val="24"/>
                <w:szCs w:val="24"/>
                <w:highlight w:val="none"/>
              </w:rPr>
            </w:pPr>
            <w:r>
              <w:rPr>
                <w:rFonts w:ascii="仿宋_GB2312" w:hAnsi="仿宋_GB2312" w:eastAsia="仿宋_GB2312" w:cs="仿宋_GB2312"/>
                <w:color w:val="auto"/>
                <w:sz w:val="24"/>
                <w:szCs w:val="24"/>
                <w:highlight w:val="none"/>
              </w:rPr>
              <w:t>无</w:t>
            </w:r>
          </w:p>
        </w:tc>
      </w:tr>
    </w:tbl>
    <w:p w14:paraId="71A775B0">
      <w:pPr>
        <w:pStyle w:val="11"/>
        <w:jc w:val="left"/>
        <w:rPr>
          <w:color w:val="auto"/>
          <w:sz w:val="24"/>
          <w:szCs w:val="24"/>
          <w:highlight w:val="none"/>
        </w:rPr>
      </w:pPr>
      <w:r>
        <w:rPr>
          <w:rFonts w:ascii="仿宋_GB2312" w:hAnsi="仿宋_GB2312" w:eastAsia="仿宋_GB2312" w:cs="仿宋_GB2312"/>
          <w:color w:val="auto"/>
          <w:sz w:val="24"/>
          <w:szCs w:val="24"/>
          <w:highlight w:val="none"/>
        </w:rPr>
        <w:t>（2）报价明细要求：</w:t>
      </w:r>
    </w:p>
    <w:p w14:paraId="36DA02F0">
      <w:pPr>
        <w:pStyle w:val="11"/>
        <w:jc w:val="left"/>
        <w:rPr>
          <w:rFonts w:hint="eastAsia" w:eastAsiaTheme="minorEastAsia"/>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2026年新美街道农村一体化保洁</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641"/>
        <w:gridCol w:w="1472"/>
        <w:gridCol w:w="914"/>
        <w:gridCol w:w="728"/>
        <w:gridCol w:w="1451"/>
        <w:gridCol w:w="761"/>
        <w:gridCol w:w="1099"/>
      </w:tblGrid>
      <w:tr w14:paraId="6EA90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49633B">
            <w:pPr>
              <w:pStyle w:val="11"/>
              <w:jc w:val="left"/>
              <w:rPr>
                <w:color w:val="auto"/>
                <w:sz w:val="24"/>
                <w:szCs w:val="24"/>
                <w:highlight w:val="none"/>
              </w:rPr>
            </w:pPr>
            <w:r>
              <w:rPr>
                <w:rFonts w:ascii="仿宋_GB2312" w:hAnsi="仿宋_GB2312" w:eastAsia="仿宋_GB2312" w:cs="仿宋_GB2312"/>
                <w:color w:val="auto"/>
                <w:sz w:val="24"/>
                <w:szCs w:val="24"/>
                <w:highlight w:val="none"/>
              </w:rPr>
              <w:t>序号</w:t>
            </w:r>
          </w:p>
        </w:tc>
        <w:tc>
          <w:tcPr>
            <w:tcW w:w="1641" w:type="dxa"/>
          </w:tcPr>
          <w:p w14:paraId="5A279686">
            <w:pPr>
              <w:pStyle w:val="11"/>
              <w:jc w:val="left"/>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1472" w:type="dxa"/>
          </w:tcPr>
          <w:p w14:paraId="5A458C7C">
            <w:pPr>
              <w:pStyle w:val="11"/>
              <w:jc w:val="left"/>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914" w:type="dxa"/>
          </w:tcPr>
          <w:p w14:paraId="21CB7584">
            <w:pPr>
              <w:pStyle w:val="11"/>
              <w:jc w:val="left"/>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728" w:type="dxa"/>
          </w:tcPr>
          <w:p w14:paraId="3F4DC065">
            <w:pPr>
              <w:pStyle w:val="11"/>
              <w:jc w:val="left"/>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51" w:type="dxa"/>
          </w:tcPr>
          <w:p w14:paraId="05B7AC7C">
            <w:pPr>
              <w:pStyle w:val="11"/>
              <w:jc w:val="left"/>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761" w:type="dxa"/>
          </w:tcPr>
          <w:p w14:paraId="35764634">
            <w:pPr>
              <w:pStyle w:val="11"/>
              <w:jc w:val="left"/>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099" w:type="dxa"/>
          </w:tcPr>
          <w:p w14:paraId="7D3A461E">
            <w:pPr>
              <w:pStyle w:val="11"/>
              <w:jc w:val="left"/>
              <w:rPr>
                <w:color w:val="auto"/>
                <w:sz w:val="24"/>
                <w:szCs w:val="24"/>
                <w:highlight w:val="none"/>
              </w:rPr>
            </w:pPr>
            <w:r>
              <w:rPr>
                <w:rFonts w:ascii="仿宋_GB2312" w:hAnsi="仿宋_GB2312" w:eastAsia="仿宋_GB2312" w:cs="仿宋_GB2312"/>
                <w:color w:val="auto"/>
                <w:sz w:val="24"/>
                <w:szCs w:val="24"/>
                <w:highlight w:val="none"/>
              </w:rPr>
              <w:t>报价说明</w:t>
            </w:r>
          </w:p>
        </w:tc>
      </w:tr>
      <w:tr w14:paraId="7DD22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BAF24E">
            <w:pPr>
              <w:pStyle w:val="11"/>
              <w:jc w:val="left"/>
              <w:rPr>
                <w:color w:val="auto"/>
                <w:sz w:val="24"/>
                <w:szCs w:val="24"/>
                <w:highlight w:val="none"/>
              </w:rPr>
            </w:pPr>
            <w:r>
              <w:rPr>
                <w:rFonts w:ascii="仿宋_GB2312" w:hAnsi="仿宋_GB2312" w:eastAsia="仿宋_GB2312" w:cs="仿宋_GB2312"/>
                <w:color w:val="auto"/>
                <w:sz w:val="24"/>
                <w:szCs w:val="24"/>
                <w:highlight w:val="none"/>
              </w:rPr>
              <w:t>1</w:t>
            </w:r>
          </w:p>
        </w:tc>
        <w:tc>
          <w:tcPr>
            <w:tcW w:w="1641" w:type="dxa"/>
          </w:tcPr>
          <w:p w14:paraId="25BC8914">
            <w:pPr>
              <w:pStyle w:val="11"/>
              <w:jc w:val="left"/>
              <w:rPr>
                <w:rFonts w:hint="eastAsia" w:eastAsiaTheme="minorEastAsia"/>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2026年新美街道农村一体化保洁</w:t>
            </w:r>
          </w:p>
        </w:tc>
        <w:tc>
          <w:tcPr>
            <w:tcW w:w="1472" w:type="dxa"/>
          </w:tcPr>
          <w:p w14:paraId="0AB36440">
            <w:pPr>
              <w:pStyle w:val="11"/>
              <w:jc w:val="left"/>
              <w:rPr>
                <w:rFonts w:hint="eastAsia" w:eastAsiaTheme="minorEastAsia"/>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2026年新美街道农村一体化保洁</w:t>
            </w:r>
          </w:p>
        </w:tc>
        <w:tc>
          <w:tcPr>
            <w:tcW w:w="914" w:type="dxa"/>
          </w:tcPr>
          <w:p w14:paraId="4D286A98">
            <w:pPr>
              <w:pStyle w:val="11"/>
              <w:jc w:val="left"/>
              <w:rPr>
                <w:color w:val="auto"/>
                <w:sz w:val="24"/>
                <w:szCs w:val="24"/>
                <w:highlight w:val="none"/>
              </w:rPr>
            </w:pPr>
            <w:r>
              <w:rPr>
                <w:rFonts w:ascii="仿宋_GB2312" w:hAnsi="仿宋_GB2312" w:eastAsia="仿宋_GB2312" w:cs="仿宋_GB2312"/>
                <w:color w:val="auto"/>
                <w:sz w:val="24"/>
                <w:szCs w:val="24"/>
                <w:highlight w:val="none"/>
              </w:rPr>
              <w:t>项</w:t>
            </w:r>
          </w:p>
        </w:tc>
        <w:tc>
          <w:tcPr>
            <w:tcW w:w="728" w:type="dxa"/>
          </w:tcPr>
          <w:p w14:paraId="0550374A">
            <w:pPr>
              <w:pStyle w:val="11"/>
              <w:jc w:val="left"/>
              <w:rPr>
                <w:color w:val="auto"/>
                <w:sz w:val="24"/>
                <w:szCs w:val="24"/>
                <w:highlight w:val="none"/>
              </w:rPr>
            </w:pPr>
            <w:r>
              <w:rPr>
                <w:rFonts w:ascii="仿宋_GB2312" w:hAnsi="仿宋_GB2312" w:eastAsia="仿宋_GB2312" w:cs="仿宋_GB2312"/>
                <w:color w:val="auto"/>
                <w:sz w:val="24"/>
                <w:szCs w:val="24"/>
                <w:highlight w:val="none"/>
              </w:rPr>
              <w:t>元</w:t>
            </w:r>
          </w:p>
        </w:tc>
        <w:tc>
          <w:tcPr>
            <w:tcW w:w="1451" w:type="dxa"/>
          </w:tcPr>
          <w:p w14:paraId="01EFE08D">
            <w:pPr>
              <w:pStyle w:val="11"/>
              <w:jc w:val="right"/>
              <w:rPr>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00,000.00</w:t>
            </w:r>
          </w:p>
        </w:tc>
        <w:tc>
          <w:tcPr>
            <w:tcW w:w="761" w:type="dxa"/>
          </w:tcPr>
          <w:p w14:paraId="662831E9">
            <w:pPr>
              <w:pStyle w:val="11"/>
              <w:jc w:val="left"/>
              <w:rPr>
                <w:color w:val="auto"/>
                <w:sz w:val="24"/>
                <w:szCs w:val="24"/>
                <w:highlight w:val="none"/>
              </w:rPr>
            </w:pPr>
            <w:r>
              <w:rPr>
                <w:rFonts w:ascii="仿宋_GB2312" w:hAnsi="仿宋_GB2312" w:eastAsia="仿宋_GB2312" w:cs="仿宋_GB2312"/>
                <w:color w:val="auto"/>
                <w:sz w:val="24"/>
                <w:szCs w:val="24"/>
                <w:highlight w:val="none"/>
              </w:rPr>
              <w:t>总价</w:t>
            </w:r>
          </w:p>
        </w:tc>
        <w:tc>
          <w:tcPr>
            <w:tcW w:w="1099" w:type="dxa"/>
          </w:tcPr>
          <w:p w14:paraId="68F19862">
            <w:pPr>
              <w:pStyle w:val="11"/>
              <w:jc w:val="left"/>
              <w:rPr>
                <w:color w:val="auto"/>
                <w:sz w:val="24"/>
                <w:szCs w:val="24"/>
                <w:highlight w:val="none"/>
              </w:rPr>
            </w:pPr>
            <w:r>
              <w:rPr>
                <w:rFonts w:ascii="仿宋_GB2312" w:hAnsi="仿宋_GB2312" w:eastAsia="仿宋_GB2312" w:cs="仿宋_GB2312"/>
                <w:color w:val="auto"/>
                <w:sz w:val="24"/>
                <w:szCs w:val="24"/>
                <w:highlight w:val="none"/>
              </w:rPr>
              <w:t>无</w:t>
            </w:r>
          </w:p>
        </w:tc>
      </w:tr>
    </w:tbl>
    <w:p w14:paraId="0FD47180">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5130F54C">
      <w:pPr>
        <w:pStyle w:val="11"/>
        <w:jc w:val="center"/>
        <w:outlineLvl w:val="1"/>
        <w:rPr>
          <w:color w:val="auto"/>
          <w:sz w:val="32"/>
          <w:szCs w:val="32"/>
          <w:highlight w:val="none"/>
        </w:rPr>
      </w:pPr>
      <w:r>
        <w:rPr>
          <w:rFonts w:ascii="仿宋_GB2312" w:hAnsi="仿宋_GB2312" w:eastAsia="仿宋_GB2312" w:cs="仿宋_GB2312"/>
          <w:b/>
          <w:color w:val="auto"/>
          <w:sz w:val="32"/>
          <w:szCs w:val="32"/>
          <w:highlight w:val="none"/>
        </w:rPr>
        <w:t>第二章 投标人须知前附表</w:t>
      </w:r>
    </w:p>
    <w:p w14:paraId="2B6025B4">
      <w:pPr>
        <w:pStyle w:val="11"/>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一、投标人须知前附表1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6"/>
        <w:gridCol w:w="1557"/>
        <w:gridCol w:w="6239"/>
      </w:tblGrid>
      <w:tr w14:paraId="1F05D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7C8B766F">
            <w:pPr>
              <w:pStyle w:val="11"/>
              <w:jc w:val="left"/>
              <w:rPr>
                <w:color w:val="auto"/>
                <w:sz w:val="24"/>
                <w:szCs w:val="24"/>
                <w:highlight w:val="none"/>
              </w:rPr>
            </w:pPr>
            <w:r>
              <w:rPr>
                <w:rFonts w:ascii="仿宋_GB2312" w:hAnsi="仿宋_GB2312" w:eastAsia="仿宋_GB2312" w:cs="仿宋_GB2312"/>
                <w:color w:val="auto"/>
                <w:sz w:val="24"/>
                <w:szCs w:val="24"/>
                <w:highlight w:val="none"/>
              </w:rPr>
              <w:t>特别提示：本表与招标文件对应章节的内容若不一致，以本表为准。</w:t>
            </w:r>
          </w:p>
        </w:tc>
      </w:tr>
      <w:tr w14:paraId="3AEA1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0FD03845">
            <w:pPr>
              <w:pStyle w:val="11"/>
              <w:jc w:val="left"/>
              <w:rPr>
                <w:color w:val="auto"/>
                <w:sz w:val="24"/>
                <w:szCs w:val="24"/>
                <w:highlight w:val="none"/>
              </w:rPr>
            </w:pPr>
            <w:r>
              <w:rPr>
                <w:rFonts w:ascii="仿宋_GB2312" w:hAnsi="仿宋_GB2312" w:eastAsia="仿宋_GB2312" w:cs="仿宋_GB2312"/>
                <w:color w:val="auto"/>
                <w:sz w:val="24"/>
                <w:szCs w:val="24"/>
                <w:highlight w:val="none"/>
              </w:rPr>
              <w:t>序号</w:t>
            </w:r>
          </w:p>
        </w:tc>
        <w:tc>
          <w:tcPr>
            <w:tcW w:w="1557" w:type="dxa"/>
          </w:tcPr>
          <w:p w14:paraId="3A069E57">
            <w:pPr>
              <w:pStyle w:val="11"/>
              <w:jc w:val="left"/>
              <w:rPr>
                <w:color w:val="auto"/>
                <w:sz w:val="24"/>
                <w:szCs w:val="24"/>
                <w:highlight w:val="none"/>
              </w:rPr>
            </w:pPr>
            <w:r>
              <w:rPr>
                <w:rFonts w:ascii="仿宋_GB2312" w:hAnsi="仿宋_GB2312" w:eastAsia="仿宋_GB2312" w:cs="仿宋_GB2312"/>
                <w:color w:val="auto"/>
                <w:sz w:val="24"/>
                <w:szCs w:val="24"/>
                <w:highlight w:val="none"/>
              </w:rPr>
              <w:t>招标文件</w:t>
            </w:r>
          </w:p>
          <w:p w14:paraId="329CF4C0">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（第三章）</w:t>
            </w:r>
          </w:p>
        </w:tc>
        <w:tc>
          <w:tcPr>
            <w:tcW w:w="6239" w:type="dxa"/>
          </w:tcPr>
          <w:p w14:paraId="6534D332">
            <w:pPr>
              <w:pStyle w:val="11"/>
              <w:jc w:val="left"/>
              <w:rPr>
                <w:color w:val="auto"/>
                <w:sz w:val="24"/>
                <w:szCs w:val="24"/>
                <w:highlight w:val="none"/>
              </w:rPr>
            </w:pPr>
            <w:r>
              <w:rPr>
                <w:rFonts w:ascii="仿宋_GB2312" w:hAnsi="仿宋_GB2312" w:eastAsia="仿宋_GB2312" w:cs="仿宋_GB2312"/>
                <w:color w:val="auto"/>
                <w:sz w:val="24"/>
                <w:szCs w:val="24"/>
                <w:highlight w:val="none"/>
              </w:rPr>
              <w:t>编列内容</w:t>
            </w:r>
          </w:p>
        </w:tc>
      </w:tr>
      <w:tr w14:paraId="68470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588BE2C2">
            <w:pPr>
              <w:pStyle w:val="11"/>
              <w:jc w:val="left"/>
              <w:rPr>
                <w:color w:val="auto"/>
                <w:sz w:val="24"/>
                <w:szCs w:val="24"/>
                <w:highlight w:val="none"/>
              </w:rPr>
            </w:pPr>
            <w:r>
              <w:rPr>
                <w:rFonts w:ascii="仿宋_GB2312" w:hAnsi="仿宋_GB2312" w:eastAsia="仿宋_GB2312" w:cs="仿宋_GB2312"/>
                <w:color w:val="auto"/>
                <w:sz w:val="24"/>
                <w:szCs w:val="24"/>
                <w:highlight w:val="none"/>
              </w:rPr>
              <w:t>1</w:t>
            </w:r>
          </w:p>
        </w:tc>
        <w:tc>
          <w:tcPr>
            <w:tcW w:w="1557" w:type="dxa"/>
          </w:tcPr>
          <w:p w14:paraId="649DD9D1">
            <w:pPr>
              <w:pStyle w:val="11"/>
              <w:jc w:val="left"/>
              <w:rPr>
                <w:color w:val="auto"/>
                <w:sz w:val="24"/>
                <w:szCs w:val="24"/>
                <w:highlight w:val="none"/>
              </w:rPr>
            </w:pPr>
            <w:r>
              <w:rPr>
                <w:rFonts w:ascii="仿宋_GB2312" w:hAnsi="仿宋_GB2312" w:eastAsia="仿宋_GB2312" w:cs="仿宋_GB2312"/>
                <w:color w:val="auto"/>
                <w:sz w:val="24"/>
                <w:szCs w:val="24"/>
                <w:highlight w:val="none"/>
              </w:rPr>
              <w:t>6.1</w:t>
            </w:r>
          </w:p>
        </w:tc>
        <w:tc>
          <w:tcPr>
            <w:tcW w:w="6239" w:type="dxa"/>
          </w:tcPr>
          <w:p w14:paraId="28580507">
            <w:pPr>
              <w:pStyle w:val="11"/>
              <w:jc w:val="left"/>
              <w:rPr>
                <w:color w:val="auto"/>
                <w:sz w:val="24"/>
                <w:szCs w:val="24"/>
                <w:highlight w:val="none"/>
              </w:rPr>
            </w:pPr>
            <w:r>
              <w:rPr>
                <w:rFonts w:ascii="仿宋_GB2312" w:hAnsi="仿宋_GB2312" w:eastAsia="仿宋_GB2312" w:cs="仿宋_GB2312"/>
                <w:color w:val="auto"/>
                <w:sz w:val="24"/>
                <w:szCs w:val="24"/>
                <w:highlight w:val="none"/>
              </w:rPr>
              <w:t>是否组织现场考察或召开开标前答疑会：</w:t>
            </w:r>
          </w:p>
          <w:p w14:paraId="12189062">
            <w:pPr>
              <w:pStyle w:val="11"/>
              <w:jc w:val="left"/>
              <w:rPr>
                <w:color w:val="auto"/>
                <w:sz w:val="24"/>
                <w:szCs w:val="24"/>
                <w:highlight w:val="none"/>
              </w:rPr>
            </w:pPr>
            <w:r>
              <w:rPr>
                <w:rFonts w:ascii="仿宋_GB2312" w:hAnsi="仿宋_GB2312" w:eastAsia="仿宋_GB2312" w:cs="仿宋_GB2312"/>
                <w:color w:val="auto"/>
                <w:sz w:val="24"/>
                <w:szCs w:val="24"/>
                <w:highlight w:val="none"/>
              </w:rPr>
              <w:t>采购包1：不组织</w:t>
            </w:r>
          </w:p>
        </w:tc>
      </w:tr>
      <w:tr w14:paraId="47A0B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3035CFDF">
            <w:pPr>
              <w:pStyle w:val="11"/>
              <w:jc w:val="left"/>
              <w:rPr>
                <w:color w:val="auto"/>
                <w:sz w:val="24"/>
                <w:szCs w:val="24"/>
                <w:highlight w:val="none"/>
              </w:rPr>
            </w:pPr>
            <w:r>
              <w:rPr>
                <w:rFonts w:ascii="仿宋_GB2312" w:hAnsi="仿宋_GB2312" w:eastAsia="仿宋_GB2312" w:cs="仿宋_GB2312"/>
                <w:color w:val="auto"/>
                <w:sz w:val="24"/>
                <w:szCs w:val="24"/>
                <w:highlight w:val="none"/>
              </w:rPr>
              <w:t>2</w:t>
            </w:r>
          </w:p>
        </w:tc>
        <w:tc>
          <w:tcPr>
            <w:tcW w:w="1557" w:type="dxa"/>
          </w:tcPr>
          <w:p w14:paraId="13B887AC">
            <w:pPr>
              <w:pStyle w:val="11"/>
              <w:jc w:val="left"/>
              <w:rPr>
                <w:color w:val="auto"/>
                <w:sz w:val="24"/>
                <w:szCs w:val="24"/>
                <w:highlight w:val="none"/>
              </w:rPr>
            </w:pPr>
            <w:r>
              <w:rPr>
                <w:rFonts w:ascii="仿宋_GB2312" w:hAnsi="仿宋_GB2312" w:eastAsia="仿宋_GB2312" w:cs="仿宋_GB2312"/>
                <w:color w:val="auto"/>
                <w:sz w:val="24"/>
                <w:szCs w:val="24"/>
                <w:highlight w:val="none"/>
              </w:rPr>
              <w:t>10.4</w:t>
            </w:r>
          </w:p>
        </w:tc>
        <w:tc>
          <w:tcPr>
            <w:tcW w:w="6239" w:type="dxa"/>
          </w:tcPr>
          <w:p w14:paraId="30FCAD03">
            <w:pPr>
              <w:pStyle w:val="11"/>
              <w:jc w:val="left"/>
              <w:rPr>
                <w:color w:val="auto"/>
                <w:sz w:val="24"/>
                <w:szCs w:val="24"/>
                <w:highlight w:val="none"/>
              </w:rPr>
            </w:pPr>
            <w:r>
              <w:rPr>
                <w:rFonts w:ascii="仿宋_GB2312" w:hAnsi="仿宋_GB2312" w:eastAsia="仿宋_GB2312" w:cs="仿宋_GB2312"/>
                <w:color w:val="auto"/>
                <w:sz w:val="24"/>
                <w:szCs w:val="24"/>
                <w:highlight w:val="none"/>
              </w:rPr>
              <w:t>投标文件的份数：</w:t>
            </w:r>
          </w:p>
          <w:p w14:paraId="175A8BBC">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（1）可读介质（光盘或U盘） 0 份：投标人应将其上传至福建省政府采购网上公开信息系统的电子投标文件在该可读介质中另存 0 份。</w:t>
            </w:r>
          </w:p>
          <w:p w14:paraId="5D62A3AD">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（2）电子投标文件：详见投标人须知前附表2《关于电子招标投标活动的专门规定》。</w:t>
            </w:r>
          </w:p>
        </w:tc>
      </w:tr>
      <w:tr w14:paraId="6ADAA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54F8F973">
            <w:pPr>
              <w:pStyle w:val="11"/>
              <w:jc w:val="left"/>
              <w:rPr>
                <w:color w:val="auto"/>
                <w:sz w:val="24"/>
                <w:szCs w:val="24"/>
                <w:highlight w:val="none"/>
              </w:rPr>
            </w:pPr>
            <w:r>
              <w:rPr>
                <w:rFonts w:ascii="仿宋_GB2312" w:hAnsi="仿宋_GB2312" w:eastAsia="仿宋_GB2312" w:cs="仿宋_GB2312"/>
                <w:color w:val="auto"/>
                <w:sz w:val="24"/>
                <w:szCs w:val="24"/>
                <w:highlight w:val="none"/>
              </w:rPr>
              <w:t>3</w:t>
            </w:r>
          </w:p>
        </w:tc>
        <w:tc>
          <w:tcPr>
            <w:tcW w:w="1557" w:type="dxa"/>
          </w:tcPr>
          <w:p w14:paraId="1324DB2C">
            <w:pPr>
              <w:pStyle w:val="11"/>
              <w:jc w:val="left"/>
              <w:rPr>
                <w:color w:val="auto"/>
                <w:sz w:val="24"/>
                <w:szCs w:val="24"/>
                <w:highlight w:val="none"/>
              </w:rPr>
            </w:pPr>
            <w:r>
              <w:rPr>
                <w:rFonts w:ascii="仿宋_GB2312" w:hAnsi="仿宋_GB2312" w:eastAsia="仿宋_GB2312" w:cs="仿宋_GB2312"/>
                <w:color w:val="auto"/>
                <w:sz w:val="24"/>
                <w:szCs w:val="24"/>
                <w:highlight w:val="none"/>
              </w:rPr>
              <w:t>10.7-（1）</w:t>
            </w:r>
          </w:p>
        </w:tc>
        <w:tc>
          <w:tcPr>
            <w:tcW w:w="6239" w:type="dxa"/>
          </w:tcPr>
          <w:p w14:paraId="48B575E6">
            <w:pPr>
              <w:pStyle w:val="11"/>
              <w:jc w:val="left"/>
              <w:rPr>
                <w:rFonts w:hint="eastAsia" w:eastAsiaTheme="minorEastAsia"/>
                <w:color w:val="auto"/>
                <w:sz w:val="24"/>
                <w:szCs w:val="24"/>
                <w:highlight w:val="none"/>
                <w:lang w:val="en-US" w:eastAsia="zh-CN"/>
              </w:rPr>
            </w:pPr>
            <w:r>
              <w:rPr>
                <w:rFonts w:ascii="仿宋_GB2312" w:hAnsi="仿宋_GB2312" w:eastAsia="仿宋_GB2312" w:cs="仿宋_GB2312"/>
                <w:color w:val="auto"/>
                <w:sz w:val="24"/>
                <w:szCs w:val="24"/>
                <w:highlight w:val="none"/>
              </w:rPr>
              <w:t>是否允许中标人将本项目的非主体、非关键性工作进行分包：</w:t>
            </w:r>
            <w:r>
              <w:rPr>
                <w:rFonts w:hint="eastAsia" w:ascii="仿宋_GB2312" w:hAnsi="仿宋_GB2312" w:eastAsia="仿宋_GB2312" w:cs="仿宋_GB2312"/>
                <w:color w:val="auto"/>
                <w:sz w:val="24"/>
                <w:szCs w:val="24"/>
                <w:highlight w:val="none"/>
                <w:lang w:val="en-US" w:eastAsia="zh-CN"/>
              </w:rPr>
              <w:t>不允许合同分包</w:t>
            </w:r>
          </w:p>
        </w:tc>
      </w:tr>
      <w:tr w14:paraId="3FDB9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345AB306">
            <w:pPr>
              <w:pStyle w:val="11"/>
              <w:jc w:val="left"/>
              <w:rPr>
                <w:color w:val="auto"/>
                <w:sz w:val="24"/>
                <w:szCs w:val="24"/>
                <w:highlight w:val="none"/>
              </w:rPr>
            </w:pPr>
            <w:r>
              <w:rPr>
                <w:rFonts w:ascii="仿宋_GB2312" w:hAnsi="仿宋_GB2312" w:eastAsia="仿宋_GB2312" w:cs="仿宋_GB2312"/>
                <w:color w:val="auto"/>
                <w:sz w:val="24"/>
                <w:szCs w:val="24"/>
                <w:highlight w:val="none"/>
              </w:rPr>
              <w:t>4</w:t>
            </w:r>
          </w:p>
        </w:tc>
        <w:tc>
          <w:tcPr>
            <w:tcW w:w="1557" w:type="dxa"/>
          </w:tcPr>
          <w:p w14:paraId="642C7E74">
            <w:pPr>
              <w:pStyle w:val="11"/>
              <w:jc w:val="left"/>
              <w:rPr>
                <w:color w:val="auto"/>
                <w:sz w:val="24"/>
                <w:szCs w:val="24"/>
                <w:highlight w:val="none"/>
              </w:rPr>
            </w:pPr>
            <w:r>
              <w:rPr>
                <w:rFonts w:ascii="仿宋_GB2312" w:hAnsi="仿宋_GB2312" w:eastAsia="仿宋_GB2312" w:cs="仿宋_GB2312"/>
                <w:color w:val="auto"/>
                <w:sz w:val="24"/>
                <w:szCs w:val="24"/>
                <w:highlight w:val="none"/>
              </w:rPr>
              <w:t>10.8-（1）</w:t>
            </w:r>
          </w:p>
        </w:tc>
        <w:tc>
          <w:tcPr>
            <w:tcW w:w="6239" w:type="dxa"/>
          </w:tcPr>
          <w:p w14:paraId="5CD36F8C">
            <w:pPr>
              <w:pStyle w:val="11"/>
              <w:jc w:val="left"/>
              <w:rPr>
                <w:color w:val="auto"/>
                <w:sz w:val="24"/>
                <w:szCs w:val="24"/>
                <w:highlight w:val="none"/>
              </w:rPr>
            </w:pPr>
            <w:r>
              <w:rPr>
                <w:rFonts w:ascii="仿宋_GB2312" w:hAnsi="仿宋_GB2312" w:eastAsia="仿宋_GB2312" w:cs="仿宋_GB2312"/>
                <w:color w:val="auto"/>
                <w:sz w:val="24"/>
                <w:szCs w:val="24"/>
                <w:highlight w:val="none"/>
              </w:rPr>
              <w:t>投标有效期：投标截止时间起 90 个日历日。</w:t>
            </w:r>
          </w:p>
        </w:tc>
      </w:tr>
      <w:tr w14:paraId="4F5F3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43123901">
            <w:pPr>
              <w:pStyle w:val="11"/>
              <w:jc w:val="left"/>
              <w:rPr>
                <w:color w:val="auto"/>
                <w:sz w:val="24"/>
                <w:szCs w:val="24"/>
                <w:highlight w:val="none"/>
              </w:rPr>
            </w:pPr>
            <w:r>
              <w:rPr>
                <w:rFonts w:ascii="仿宋_GB2312" w:hAnsi="仿宋_GB2312" w:eastAsia="仿宋_GB2312" w:cs="仿宋_GB2312"/>
                <w:color w:val="auto"/>
                <w:sz w:val="24"/>
                <w:szCs w:val="24"/>
                <w:highlight w:val="none"/>
              </w:rPr>
              <w:t>5</w:t>
            </w:r>
          </w:p>
        </w:tc>
        <w:tc>
          <w:tcPr>
            <w:tcW w:w="1557" w:type="dxa"/>
          </w:tcPr>
          <w:p w14:paraId="26ECD7FB">
            <w:pPr>
              <w:pStyle w:val="11"/>
              <w:jc w:val="left"/>
              <w:rPr>
                <w:color w:val="auto"/>
                <w:sz w:val="24"/>
                <w:szCs w:val="24"/>
                <w:highlight w:val="none"/>
              </w:rPr>
            </w:pPr>
            <w:r>
              <w:rPr>
                <w:rFonts w:ascii="仿宋_GB2312" w:hAnsi="仿宋_GB2312" w:eastAsia="仿宋_GB2312" w:cs="仿宋_GB2312"/>
                <w:color w:val="auto"/>
                <w:sz w:val="24"/>
                <w:szCs w:val="24"/>
                <w:highlight w:val="none"/>
              </w:rPr>
              <w:t>12.1</w:t>
            </w:r>
          </w:p>
        </w:tc>
        <w:tc>
          <w:tcPr>
            <w:tcW w:w="6239" w:type="dxa"/>
          </w:tcPr>
          <w:p w14:paraId="20565BBC">
            <w:pPr>
              <w:pStyle w:val="11"/>
              <w:jc w:val="left"/>
              <w:rPr>
                <w:color w:val="auto"/>
                <w:sz w:val="24"/>
                <w:szCs w:val="24"/>
                <w:highlight w:val="none"/>
              </w:rPr>
            </w:pPr>
            <w:r>
              <w:rPr>
                <w:rFonts w:ascii="仿宋_GB2312" w:hAnsi="仿宋_GB2312" w:eastAsia="仿宋_GB2312" w:cs="仿宋_GB2312"/>
                <w:color w:val="auto"/>
                <w:sz w:val="24"/>
                <w:szCs w:val="24"/>
                <w:highlight w:val="none"/>
              </w:rPr>
              <w:t>确定中标候选人名单：</w:t>
            </w:r>
          </w:p>
          <w:p w14:paraId="2078C603">
            <w:pPr>
              <w:pStyle w:val="11"/>
              <w:jc w:val="left"/>
              <w:rPr>
                <w:color w:val="auto"/>
                <w:sz w:val="24"/>
                <w:szCs w:val="24"/>
                <w:highlight w:val="none"/>
              </w:rPr>
            </w:pPr>
            <w:r>
              <w:rPr>
                <w:rFonts w:ascii="仿宋_GB2312" w:hAnsi="仿宋_GB2312" w:eastAsia="仿宋_GB2312" w:cs="仿宋_GB2312"/>
                <w:color w:val="auto"/>
                <w:sz w:val="24"/>
                <w:szCs w:val="24"/>
                <w:highlight w:val="none"/>
              </w:rPr>
              <w:t>采购包1：3名</w:t>
            </w:r>
          </w:p>
        </w:tc>
      </w:tr>
      <w:tr w14:paraId="2BBAC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2B22D14D">
            <w:pPr>
              <w:pStyle w:val="11"/>
              <w:jc w:val="left"/>
              <w:rPr>
                <w:color w:val="auto"/>
                <w:sz w:val="24"/>
                <w:szCs w:val="24"/>
                <w:highlight w:val="none"/>
              </w:rPr>
            </w:pPr>
            <w:r>
              <w:rPr>
                <w:rFonts w:ascii="仿宋_GB2312" w:hAnsi="仿宋_GB2312" w:eastAsia="仿宋_GB2312" w:cs="仿宋_GB2312"/>
                <w:color w:val="auto"/>
                <w:sz w:val="24"/>
                <w:szCs w:val="24"/>
                <w:highlight w:val="none"/>
              </w:rPr>
              <w:t>6</w:t>
            </w:r>
          </w:p>
        </w:tc>
        <w:tc>
          <w:tcPr>
            <w:tcW w:w="1557" w:type="dxa"/>
          </w:tcPr>
          <w:p w14:paraId="2E4F762C">
            <w:pPr>
              <w:pStyle w:val="11"/>
              <w:jc w:val="left"/>
              <w:rPr>
                <w:color w:val="auto"/>
                <w:sz w:val="24"/>
                <w:szCs w:val="24"/>
                <w:highlight w:val="none"/>
              </w:rPr>
            </w:pPr>
            <w:r>
              <w:rPr>
                <w:rFonts w:ascii="仿宋_GB2312" w:hAnsi="仿宋_GB2312" w:eastAsia="仿宋_GB2312" w:cs="仿宋_GB2312"/>
                <w:color w:val="auto"/>
                <w:sz w:val="24"/>
                <w:szCs w:val="24"/>
                <w:highlight w:val="none"/>
              </w:rPr>
              <w:t>12.2</w:t>
            </w:r>
          </w:p>
        </w:tc>
        <w:tc>
          <w:tcPr>
            <w:tcW w:w="6239" w:type="dxa"/>
          </w:tcPr>
          <w:p w14:paraId="6B11A29C">
            <w:pPr>
              <w:pStyle w:val="11"/>
              <w:jc w:val="left"/>
              <w:rPr>
                <w:color w:val="auto"/>
                <w:sz w:val="24"/>
                <w:szCs w:val="24"/>
                <w:highlight w:val="none"/>
              </w:rPr>
            </w:pPr>
            <w:r>
              <w:rPr>
                <w:rFonts w:ascii="仿宋_GB2312" w:hAnsi="仿宋_GB2312" w:eastAsia="仿宋_GB2312" w:cs="仿宋_GB2312"/>
                <w:color w:val="auto"/>
                <w:sz w:val="24"/>
                <w:szCs w:val="24"/>
                <w:highlight w:val="none"/>
              </w:rPr>
              <w:t>本项目中标人的确定（以采购包为单位）：</w:t>
            </w:r>
          </w:p>
          <w:p w14:paraId="5BD60555">
            <w:pPr>
              <w:pStyle w:val="11"/>
              <w:jc w:val="left"/>
              <w:rPr>
                <w:color w:val="auto"/>
                <w:sz w:val="24"/>
                <w:szCs w:val="24"/>
                <w:highlight w:val="none"/>
              </w:rPr>
            </w:pPr>
            <w:r>
              <w:rPr>
                <w:rFonts w:ascii="仿宋_GB2312" w:hAnsi="仿宋_GB2312" w:eastAsia="仿宋_GB2312" w:cs="仿宋_GB2312"/>
                <w:color w:val="auto"/>
                <w:sz w:val="24"/>
                <w:szCs w:val="24"/>
                <w:highlight w:val="none"/>
              </w:rPr>
              <w:t>（1） 采购人应在政府采购招投标管理办法规定的时限内确定中标人。</w:t>
            </w:r>
          </w:p>
          <w:p w14:paraId="5A4A914C">
            <w:pPr>
              <w:pStyle w:val="11"/>
              <w:jc w:val="left"/>
              <w:rPr>
                <w:color w:val="auto"/>
                <w:sz w:val="24"/>
                <w:szCs w:val="24"/>
                <w:highlight w:val="none"/>
              </w:rPr>
            </w:pPr>
            <w:r>
              <w:rPr>
                <w:rFonts w:ascii="仿宋_GB2312" w:hAnsi="仿宋_GB2312" w:eastAsia="仿宋_GB2312" w:cs="仿宋_GB2312"/>
                <w:color w:val="auto"/>
                <w:sz w:val="24"/>
                <w:szCs w:val="24"/>
                <w:highlight w:val="none"/>
              </w:rPr>
              <w:t>（2）若出现中标候选人并列情形，则按照下列方式确定中标人：</w:t>
            </w:r>
          </w:p>
          <w:p w14:paraId="282B456B">
            <w:pPr>
              <w:pStyle w:val="11"/>
              <w:jc w:val="left"/>
              <w:rPr>
                <w:color w:val="auto"/>
                <w:sz w:val="24"/>
                <w:szCs w:val="24"/>
                <w:highlight w:val="none"/>
              </w:rPr>
            </w:pPr>
            <w:r>
              <w:rPr>
                <w:rFonts w:ascii="仿宋_GB2312" w:hAnsi="仿宋_GB2312" w:eastAsia="仿宋_GB2312" w:cs="仿宋_GB2312"/>
                <w:color w:val="auto"/>
                <w:sz w:val="24"/>
                <w:szCs w:val="24"/>
                <w:highlight w:val="none"/>
              </w:rPr>
              <w:t>①招标文件规定的方式：</w:t>
            </w:r>
          </w:p>
          <w:p w14:paraId="28D06191">
            <w:pPr>
              <w:pStyle w:val="11"/>
              <w:jc w:val="left"/>
              <w:rPr>
                <w:color w:val="auto"/>
                <w:sz w:val="24"/>
                <w:szCs w:val="24"/>
                <w:highlight w:val="none"/>
              </w:rPr>
            </w:pPr>
            <w:r>
              <w:rPr>
                <w:rFonts w:ascii="仿宋_GB2312" w:hAnsi="仿宋_GB2312" w:eastAsia="仿宋_GB2312" w:cs="仿宋_GB2312"/>
                <w:color w:val="auto"/>
                <w:sz w:val="24"/>
                <w:szCs w:val="24"/>
                <w:highlight w:val="none"/>
              </w:rPr>
              <w:t>按评审后的综合得分由高到低顺序排列；综合得分相同的，按投标报价由低到高顺序排列；综合得分且投标报价相同的，按技术得分由高到低顺序排列；若综合得分、投标报价及技术得分均相同，则由评标委员会进行表决推荐。</w:t>
            </w:r>
          </w:p>
          <w:p w14:paraId="54B77627">
            <w:pPr>
              <w:pStyle w:val="11"/>
              <w:jc w:val="left"/>
              <w:rPr>
                <w:color w:val="auto"/>
                <w:sz w:val="24"/>
                <w:szCs w:val="24"/>
                <w:highlight w:val="none"/>
              </w:rPr>
            </w:pPr>
            <w:r>
              <w:rPr>
                <w:rFonts w:ascii="仿宋_GB2312" w:hAnsi="仿宋_GB2312" w:eastAsia="仿宋_GB2312" w:cs="仿宋_GB2312"/>
                <w:color w:val="auto"/>
                <w:sz w:val="24"/>
                <w:szCs w:val="24"/>
                <w:highlight w:val="none"/>
              </w:rPr>
              <w:t>②若本款第①点规定方式为“无”，则按照下列方式确定：</w:t>
            </w:r>
          </w:p>
          <w:p w14:paraId="348EA7C4">
            <w:pPr>
              <w:pStyle w:val="11"/>
              <w:jc w:val="left"/>
              <w:rPr>
                <w:color w:val="auto"/>
                <w:sz w:val="24"/>
                <w:szCs w:val="24"/>
                <w:highlight w:val="none"/>
              </w:rPr>
            </w:pPr>
            <w:r>
              <w:rPr>
                <w:rFonts w:ascii="仿宋_GB2312" w:hAnsi="仿宋_GB2312" w:eastAsia="仿宋_GB2312" w:cs="仿宋_GB2312"/>
                <w:color w:val="auto"/>
                <w:sz w:val="24"/>
                <w:szCs w:val="24"/>
                <w:highlight w:val="none"/>
              </w:rPr>
              <w:t>无</w:t>
            </w:r>
          </w:p>
          <w:p w14:paraId="7C19413E">
            <w:pPr>
              <w:pStyle w:val="11"/>
              <w:jc w:val="left"/>
              <w:rPr>
                <w:color w:val="auto"/>
                <w:sz w:val="24"/>
                <w:szCs w:val="24"/>
                <w:highlight w:val="none"/>
              </w:rPr>
            </w:pPr>
            <w:r>
              <w:rPr>
                <w:rFonts w:ascii="仿宋_GB2312" w:hAnsi="仿宋_GB2312" w:eastAsia="仿宋_GB2312" w:cs="仿宋_GB2312"/>
                <w:color w:val="auto"/>
                <w:sz w:val="24"/>
                <w:szCs w:val="24"/>
                <w:highlight w:val="none"/>
              </w:rPr>
              <w:t>③若本款第①、②点规定方式均为“无”，则按照下列方式确定：随机抽取。</w:t>
            </w:r>
          </w:p>
          <w:p w14:paraId="713B4470">
            <w:pPr>
              <w:pStyle w:val="11"/>
              <w:jc w:val="left"/>
              <w:rPr>
                <w:color w:val="auto"/>
                <w:sz w:val="24"/>
                <w:szCs w:val="24"/>
                <w:highlight w:val="none"/>
              </w:rPr>
            </w:pPr>
            <w:r>
              <w:rPr>
                <w:rFonts w:ascii="仿宋_GB2312" w:hAnsi="仿宋_GB2312" w:eastAsia="仿宋_GB2312" w:cs="仿宋_GB2312"/>
                <w:color w:val="auto"/>
                <w:sz w:val="24"/>
                <w:szCs w:val="24"/>
                <w:highlight w:val="none"/>
              </w:rPr>
              <w:t>（3）本项目确定的中标人家数：</w:t>
            </w:r>
          </w:p>
          <w:p w14:paraId="0ECBFFB5">
            <w:pPr>
              <w:pStyle w:val="11"/>
              <w:jc w:val="left"/>
              <w:rPr>
                <w:color w:val="auto"/>
                <w:sz w:val="24"/>
                <w:szCs w:val="24"/>
                <w:highlight w:val="none"/>
              </w:rPr>
            </w:pPr>
            <w:r>
              <w:rPr>
                <w:rFonts w:ascii="仿宋_GB2312" w:hAnsi="仿宋_GB2312" w:eastAsia="仿宋_GB2312" w:cs="仿宋_GB2312"/>
                <w:color w:val="auto"/>
                <w:sz w:val="24"/>
                <w:szCs w:val="24"/>
                <w:highlight w:val="none"/>
              </w:rPr>
              <w:t>采购包1：1名</w:t>
            </w:r>
          </w:p>
        </w:tc>
      </w:tr>
      <w:tr w14:paraId="4A259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773E95DF">
            <w:pPr>
              <w:pStyle w:val="11"/>
              <w:jc w:val="left"/>
              <w:rPr>
                <w:color w:val="auto"/>
                <w:sz w:val="24"/>
                <w:szCs w:val="24"/>
                <w:highlight w:val="none"/>
              </w:rPr>
            </w:pPr>
            <w:r>
              <w:rPr>
                <w:rFonts w:ascii="仿宋_GB2312" w:hAnsi="仿宋_GB2312" w:eastAsia="仿宋_GB2312" w:cs="仿宋_GB2312"/>
                <w:color w:val="auto"/>
                <w:sz w:val="24"/>
                <w:szCs w:val="24"/>
                <w:highlight w:val="none"/>
              </w:rPr>
              <w:t>7</w:t>
            </w:r>
          </w:p>
        </w:tc>
        <w:tc>
          <w:tcPr>
            <w:tcW w:w="1557" w:type="dxa"/>
          </w:tcPr>
          <w:p w14:paraId="3FDF50A9">
            <w:pPr>
              <w:pStyle w:val="11"/>
              <w:jc w:val="left"/>
              <w:rPr>
                <w:color w:val="auto"/>
                <w:sz w:val="24"/>
                <w:szCs w:val="24"/>
                <w:highlight w:val="none"/>
              </w:rPr>
            </w:pPr>
            <w:r>
              <w:rPr>
                <w:rFonts w:ascii="仿宋_GB2312" w:hAnsi="仿宋_GB2312" w:eastAsia="仿宋_GB2312" w:cs="仿宋_GB2312"/>
                <w:color w:val="auto"/>
                <w:sz w:val="24"/>
                <w:szCs w:val="24"/>
                <w:highlight w:val="none"/>
              </w:rPr>
              <w:t>13.2</w:t>
            </w:r>
          </w:p>
        </w:tc>
        <w:tc>
          <w:tcPr>
            <w:tcW w:w="6239" w:type="dxa"/>
          </w:tcPr>
          <w:p w14:paraId="3AA1D7A8">
            <w:pPr>
              <w:pStyle w:val="11"/>
              <w:jc w:val="left"/>
              <w:rPr>
                <w:color w:val="auto"/>
                <w:sz w:val="24"/>
                <w:szCs w:val="24"/>
                <w:highlight w:val="none"/>
              </w:rPr>
            </w:pPr>
            <w:r>
              <w:rPr>
                <w:rFonts w:ascii="仿宋_GB2312" w:hAnsi="仿宋_GB2312" w:eastAsia="仿宋_GB2312" w:cs="仿宋_GB2312"/>
                <w:color w:val="auto"/>
                <w:sz w:val="24"/>
                <w:szCs w:val="24"/>
                <w:highlight w:val="none"/>
              </w:rPr>
              <w:t>合同签订时限： 自中标通知书发出之日起</w:t>
            </w:r>
            <w:r>
              <w:rPr>
                <w:rFonts w:hint="eastAsia" w:ascii="仿宋_GB2312" w:hAnsi="仿宋_GB2312" w:eastAsia="仿宋_GB2312" w:cs="仿宋_GB2312"/>
                <w:color w:val="auto"/>
                <w:sz w:val="24"/>
                <w:szCs w:val="24"/>
                <w:highlight w:val="none"/>
                <w:lang w:val="en-US" w:eastAsia="zh-CN"/>
              </w:rPr>
              <w:t>20</w:t>
            </w:r>
            <w:r>
              <w:rPr>
                <w:rFonts w:ascii="仿宋_GB2312" w:hAnsi="仿宋_GB2312" w:eastAsia="仿宋_GB2312" w:cs="仿宋_GB2312"/>
                <w:color w:val="auto"/>
                <w:sz w:val="24"/>
                <w:szCs w:val="24"/>
                <w:highlight w:val="none"/>
              </w:rPr>
              <w:t>个日历日内。</w:t>
            </w:r>
          </w:p>
        </w:tc>
      </w:tr>
      <w:tr w14:paraId="3A323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68985480">
            <w:pPr>
              <w:pStyle w:val="11"/>
              <w:jc w:val="left"/>
              <w:rPr>
                <w:color w:val="auto"/>
                <w:sz w:val="24"/>
                <w:szCs w:val="24"/>
                <w:highlight w:val="none"/>
              </w:rPr>
            </w:pPr>
            <w:r>
              <w:rPr>
                <w:rFonts w:ascii="仿宋_GB2312" w:hAnsi="仿宋_GB2312" w:eastAsia="仿宋_GB2312" w:cs="仿宋_GB2312"/>
                <w:color w:val="auto"/>
                <w:sz w:val="24"/>
                <w:szCs w:val="24"/>
                <w:highlight w:val="none"/>
              </w:rPr>
              <w:t>8</w:t>
            </w:r>
          </w:p>
        </w:tc>
        <w:tc>
          <w:tcPr>
            <w:tcW w:w="1557" w:type="dxa"/>
          </w:tcPr>
          <w:p w14:paraId="0B28E43C">
            <w:pPr>
              <w:pStyle w:val="11"/>
              <w:jc w:val="left"/>
              <w:rPr>
                <w:color w:val="auto"/>
                <w:sz w:val="24"/>
                <w:szCs w:val="24"/>
                <w:highlight w:val="none"/>
              </w:rPr>
            </w:pPr>
            <w:r>
              <w:rPr>
                <w:rFonts w:ascii="仿宋_GB2312" w:hAnsi="仿宋_GB2312" w:eastAsia="仿宋_GB2312" w:cs="仿宋_GB2312"/>
                <w:color w:val="auto"/>
                <w:sz w:val="24"/>
                <w:szCs w:val="24"/>
                <w:highlight w:val="none"/>
              </w:rPr>
              <w:t>15.1-（2）</w:t>
            </w:r>
          </w:p>
        </w:tc>
        <w:tc>
          <w:tcPr>
            <w:tcW w:w="6239" w:type="dxa"/>
          </w:tcPr>
          <w:p w14:paraId="5E5B09E2">
            <w:pPr>
              <w:pStyle w:val="11"/>
              <w:jc w:val="left"/>
              <w:rPr>
                <w:color w:val="auto"/>
                <w:sz w:val="24"/>
                <w:szCs w:val="24"/>
                <w:highlight w:val="none"/>
              </w:rPr>
            </w:pPr>
            <w:r>
              <w:rPr>
                <w:rFonts w:ascii="仿宋_GB2312" w:hAnsi="仿宋_GB2312" w:eastAsia="仿宋_GB2312" w:cs="仿宋_GB2312"/>
                <w:color w:val="auto"/>
                <w:sz w:val="24"/>
                <w:szCs w:val="24"/>
                <w:highlight w:val="none"/>
              </w:rPr>
              <w:t>质疑函原件应采用下列方式提交：书面形式。</w:t>
            </w:r>
          </w:p>
        </w:tc>
      </w:tr>
      <w:tr w14:paraId="61E6B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4E48D29E">
            <w:pPr>
              <w:pStyle w:val="11"/>
              <w:jc w:val="left"/>
              <w:rPr>
                <w:color w:val="auto"/>
                <w:sz w:val="24"/>
                <w:szCs w:val="24"/>
                <w:highlight w:val="none"/>
              </w:rPr>
            </w:pPr>
            <w:r>
              <w:rPr>
                <w:rFonts w:ascii="仿宋_GB2312" w:hAnsi="仿宋_GB2312" w:eastAsia="仿宋_GB2312" w:cs="仿宋_GB2312"/>
                <w:color w:val="auto"/>
                <w:sz w:val="24"/>
                <w:szCs w:val="24"/>
                <w:highlight w:val="none"/>
              </w:rPr>
              <w:t>9</w:t>
            </w:r>
          </w:p>
        </w:tc>
        <w:tc>
          <w:tcPr>
            <w:tcW w:w="1557" w:type="dxa"/>
          </w:tcPr>
          <w:p w14:paraId="6FF37A4E">
            <w:pPr>
              <w:pStyle w:val="11"/>
              <w:jc w:val="left"/>
              <w:rPr>
                <w:color w:val="auto"/>
                <w:sz w:val="24"/>
                <w:szCs w:val="24"/>
                <w:highlight w:val="none"/>
              </w:rPr>
            </w:pPr>
            <w:r>
              <w:rPr>
                <w:rFonts w:ascii="仿宋_GB2312" w:hAnsi="仿宋_GB2312" w:eastAsia="仿宋_GB2312" w:cs="仿宋_GB2312"/>
                <w:color w:val="auto"/>
                <w:sz w:val="24"/>
                <w:szCs w:val="24"/>
                <w:highlight w:val="none"/>
              </w:rPr>
              <w:t>15.4</w:t>
            </w:r>
          </w:p>
        </w:tc>
        <w:tc>
          <w:tcPr>
            <w:tcW w:w="6239" w:type="dxa"/>
          </w:tcPr>
          <w:p w14:paraId="12E1D1D0">
            <w:pPr>
              <w:pStyle w:val="11"/>
              <w:jc w:val="left"/>
              <w:rPr>
                <w:color w:val="auto"/>
                <w:sz w:val="24"/>
                <w:szCs w:val="24"/>
                <w:highlight w:val="none"/>
              </w:rPr>
            </w:pPr>
            <w:r>
              <w:rPr>
                <w:rFonts w:ascii="仿宋_GB2312" w:hAnsi="仿宋_GB2312" w:eastAsia="仿宋_GB2312" w:cs="仿宋_GB2312"/>
                <w:color w:val="auto"/>
                <w:sz w:val="24"/>
                <w:szCs w:val="24"/>
                <w:highlight w:val="none"/>
              </w:rPr>
              <w:t>招标文件的质疑</w:t>
            </w:r>
          </w:p>
          <w:p w14:paraId="2DBDCFAC">
            <w:pPr>
              <w:pStyle w:val="11"/>
              <w:jc w:val="left"/>
              <w:rPr>
                <w:color w:val="auto"/>
                <w:sz w:val="24"/>
                <w:szCs w:val="24"/>
                <w:highlight w:val="none"/>
              </w:rPr>
            </w:pPr>
            <w:r>
              <w:rPr>
                <w:rFonts w:ascii="仿宋_GB2312" w:hAnsi="仿宋_GB2312" w:eastAsia="仿宋_GB2312" w:cs="仿宋_GB2312"/>
                <w:color w:val="auto"/>
                <w:sz w:val="24"/>
                <w:szCs w:val="24"/>
                <w:highlight w:val="none"/>
              </w:rPr>
              <w:t>（1）潜在投标人可在质疑时效期间内对招标文件以书面形式提出质疑。</w:t>
            </w:r>
          </w:p>
          <w:p w14:paraId="36CD3825">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（2）质疑时效期间：应在依法获取招标文件之日起7个工作日内向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提出，依法获取招标文件的时间以福建省政府采购网上公开信息系统记载的为准。</w:t>
            </w:r>
          </w:p>
          <w:p w14:paraId="42D9A0D7">
            <w:pPr>
              <w:pStyle w:val="11"/>
              <w:jc w:val="left"/>
              <w:rPr>
                <w:color w:val="auto"/>
                <w:sz w:val="24"/>
                <w:szCs w:val="24"/>
                <w:highlight w:val="none"/>
              </w:rPr>
            </w:pPr>
            <w:r>
              <w:rPr>
                <w:rFonts w:ascii="仿宋_GB2312" w:hAnsi="仿宋_GB2312" w:eastAsia="仿宋_GB2312" w:cs="仿宋_GB2312"/>
                <w:color w:val="auto"/>
                <w:sz w:val="24"/>
                <w:szCs w:val="24"/>
                <w:highlight w:val="none"/>
              </w:rPr>
              <w:t>※除上述规定外，对招标文件提出的质疑还应符合招标文件第三章第15.1条的有关规定。</w:t>
            </w:r>
          </w:p>
        </w:tc>
      </w:tr>
      <w:tr w14:paraId="61814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230A2524">
            <w:pPr>
              <w:pStyle w:val="11"/>
              <w:jc w:val="left"/>
              <w:rPr>
                <w:color w:val="auto"/>
                <w:sz w:val="24"/>
                <w:szCs w:val="24"/>
                <w:highlight w:val="none"/>
              </w:rPr>
            </w:pPr>
            <w:r>
              <w:rPr>
                <w:rFonts w:ascii="仿宋_GB2312" w:hAnsi="仿宋_GB2312" w:eastAsia="仿宋_GB2312" w:cs="仿宋_GB2312"/>
                <w:color w:val="auto"/>
                <w:sz w:val="24"/>
                <w:szCs w:val="24"/>
                <w:highlight w:val="none"/>
              </w:rPr>
              <w:t>10</w:t>
            </w:r>
          </w:p>
        </w:tc>
        <w:tc>
          <w:tcPr>
            <w:tcW w:w="1557" w:type="dxa"/>
          </w:tcPr>
          <w:p w14:paraId="1D726880">
            <w:pPr>
              <w:pStyle w:val="11"/>
              <w:jc w:val="left"/>
              <w:rPr>
                <w:color w:val="auto"/>
                <w:sz w:val="24"/>
                <w:szCs w:val="24"/>
                <w:highlight w:val="none"/>
              </w:rPr>
            </w:pPr>
            <w:r>
              <w:rPr>
                <w:rFonts w:ascii="仿宋_GB2312" w:hAnsi="仿宋_GB2312" w:eastAsia="仿宋_GB2312" w:cs="仿宋_GB2312"/>
                <w:color w:val="auto"/>
                <w:sz w:val="24"/>
                <w:szCs w:val="24"/>
                <w:highlight w:val="none"/>
              </w:rPr>
              <w:t>16.1</w:t>
            </w:r>
          </w:p>
        </w:tc>
        <w:tc>
          <w:tcPr>
            <w:tcW w:w="6239" w:type="dxa"/>
          </w:tcPr>
          <w:p w14:paraId="24F138E0">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监督管理部门： </w:t>
            </w:r>
            <w:r>
              <w:rPr>
                <w:rFonts w:hint="eastAsia" w:ascii="仿宋_GB2312" w:hAnsi="仿宋_GB2312" w:eastAsia="仿宋_GB2312" w:cs="仿宋_GB2312"/>
                <w:color w:val="auto"/>
                <w:sz w:val="24"/>
                <w:szCs w:val="24"/>
                <w:highlight w:val="none"/>
              </w:rPr>
              <w:t>厦门市同安区财政局</w:t>
            </w:r>
            <w:r>
              <w:rPr>
                <w:rFonts w:ascii="仿宋_GB2312" w:hAnsi="仿宋_GB2312" w:eastAsia="仿宋_GB2312" w:cs="仿宋_GB2312"/>
                <w:color w:val="auto"/>
                <w:sz w:val="24"/>
                <w:szCs w:val="24"/>
                <w:highlight w:val="none"/>
              </w:rPr>
              <w:t xml:space="preserve"> </w:t>
            </w:r>
          </w:p>
        </w:tc>
      </w:tr>
      <w:tr w14:paraId="70248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59CCC381">
            <w:pPr>
              <w:pStyle w:val="11"/>
              <w:jc w:val="left"/>
              <w:rPr>
                <w:color w:val="auto"/>
                <w:sz w:val="24"/>
                <w:szCs w:val="24"/>
                <w:highlight w:val="none"/>
              </w:rPr>
            </w:pPr>
            <w:r>
              <w:rPr>
                <w:rFonts w:ascii="仿宋_GB2312" w:hAnsi="仿宋_GB2312" w:eastAsia="仿宋_GB2312" w:cs="仿宋_GB2312"/>
                <w:color w:val="auto"/>
                <w:sz w:val="24"/>
                <w:szCs w:val="24"/>
                <w:highlight w:val="none"/>
              </w:rPr>
              <w:t>11</w:t>
            </w:r>
          </w:p>
        </w:tc>
        <w:tc>
          <w:tcPr>
            <w:tcW w:w="1557" w:type="dxa"/>
          </w:tcPr>
          <w:p w14:paraId="701E26AA">
            <w:pPr>
              <w:pStyle w:val="11"/>
              <w:jc w:val="left"/>
              <w:rPr>
                <w:color w:val="auto"/>
                <w:sz w:val="24"/>
                <w:szCs w:val="24"/>
                <w:highlight w:val="none"/>
              </w:rPr>
            </w:pPr>
            <w:r>
              <w:rPr>
                <w:rFonts w:ascii="仿宋_GB2312" w:hAnsi="仿宋_GB2312" w:eastAsia="仿宋_GB2312" w:cs="仿宋_GB2312"/>
                <w:color w:val="auto"/>
                <w:sz w:val="24"/>
                <w:szCs w:val="24"/>
                <w:highlight w:val="none"/>
              </w:rPr>
              <w:t>18.1</w:t>
            </w:r>
          </w:p>
        </w:tc>
        <w:tc>
          <w:tcPr>
            <w:tcW w:w="6239" w:type="dxa"/>
          </w:tcPr>
          <w:p w14:paraId="018C13D2">
            <w:pPr>
              <w:pStyle w:val="11"/>
              <w:jc w:val="left"/>
              <w:rPr>
                <w:color w:val="auto"/>
                <w:sz w:val="24"/>
                <w:szCs w:val="24"/>
                <w:highlight w:val="none"/>
              </w:rPr>
            </w:pPr>
            <w:r>
              <w:rPr>
                <w:rFonts w:ascii="仿宋_GB2312" w:hAnsi="仿宋_GB2312" w:eastAsia="仿宋_GB2312" w:cs="仿宋_GB2312"/>
                <w:color w:val="auto"/>
                <w:sz w:val="24"/>
                <w:szCs w:val="24"/>
                <w:highlight w:val="none"/>
              </w:rPr>
              <w:t>财政部和福建省财政厅指定的政府采购信息发布媒体（以下简称：“指定媒体”）：</w:t>
            </w:r>
          </w:p>
          <w:p w14:paraId="534C4533">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（1）中国政府采购网，网址www.ccgp.gov.cn。</w:t>
            </w:r>
          </w:p>
          <w:p w14:paraId="0C3D8A8C">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（2）中国政府采购网福建分网（福建省政府采购网），网址zfcg.czt.fujian.gov.cn。</w:t>
            </w:r>
          </w:p>
          <w:p w14:paraId="674CD8EF">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※若出现上述指定媒体信息不一致情形，应以中国政府采购网福建分网（福建省政府采购网）发布的为准。</w:t>
            </w:r>
          </w:p>
        </w:tc>
      </w:tr>
      <w:tr w14:paraId="26B78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549F6923">
            <w:pPr>
              <w:pStyle w:val="11"/>
              <w:jc w:val="left"/>
              <w:rPr>
                <w:color w:val="auto"/>
                <w:sz w:val="24"/>
                <w:szCs w:val="24"/>
                <w:highlight w:val="none"/>
              </w:rPr>
            </w:pPr>
            <w:r>
              <w:rPr>
                <w:rFonts w:ascii="仿宋_GB2312" w:hAnsi="仿宋_GB2312" w:eastAsia="仿宋_GB2312" w:cs="仿宋_GB2312"/>
                <w:color w:val="auto"/>
                <w:sz w:val="24"/>
                <w:szCs w:val="24"/>
                <w:highlight w:val="none"/>
              </w:rPr>
              <w:t>12</w:t>
            </w:r>
          </w:p>
        </w:tc>
        <w:tc>
          <w:tcPr>
            <w:tcW w:w="1557" w:type="dxa"/>
          </w:tcPr>
          <w:p w14:paraId="52A88A9B">
            <w:pPr>
              <w:pStyle w:val="11"/>
              <w:jc w:val="left"/>
              <w:rPr>
                <w:color w:val="auto"/>
                <w:sz w:val="24"/>
                <w:szCs w:val="24"/>
                <w:highlight w:val="none"/>
              </w:rPr>
            </w:pPr>
            <w:r>
              <w:rPr>
                <w:rFonts w:ascii="仿宋_GB2312" w:hAnsi="仿宋_GB2312" w:eastAsia="仿宋_GB2312" w:cs="仿宋_GB2312"/>
                <w:color w:val="auto"/>
                <w:sz w:val="24"/>
                <w:szCs w:val="24"/>
                <w:highlight w:val="none"/>
              </w:rPr>
              <w:t>19</w:t>
            </w:r>
          </w:p>
        </w:tc>
        <w:tc>
          <w:tcPr>
            <w:tcW w:w="6239" w:type="dxa"/>
          </w:tcPr>
          <w:p w14:paraId="41B96BFD">
            <w:pPr>
              <w:pStyle w:val="11"/>
              <w:jc w:val="left"/>
              <w:rPr>
                <w:color w:val="auto"/>
                <w:sz w:val="24"/>
                <w:szCs w:val="24"/>
                <w:highlight w:val="none"/>
              </w:rPr>
            </w:pPr>
            <w:r>
              <w:rPr>
                <w:rFonts w:ascii="仿宋_GB2312" w:hAnsi="仿宋_GB2312" w:eastAsia="仿宋_GB2312" w:cs="仿宋_GB2312"/>
                <w:color w:val="auto"/>
                <w:sz w:val="24"/>
                <w:szCs w:val="24"/>
                <w:highlight w:val="none"/>
              </w:rPr>
              <w:t>其他事项：</w:t>
            </w:r>
          </w:p>
          <w:p w14:paraId="72423C4A">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(1)本项目代理服务费：</w:t>
            </w:r>
          </w:p>
          <w:p w14:paraId="758F3F83">
            <w:pPr>
              <w:pStyle w:val="11"/>
              <w:jc w:val="left"/>
              <w:rPr>
                <w:color w:val="auto"/>
                <w:sz w:val="24"/>
                <w:szCs w:val="24"/>
                <w:highlight w:val="none"/>
              </w:rPr>
            </w:pPr>
            <w:r>
              <w:rPr>
                <w:rFonts w:ascii="仿宋_GB2312" w:hAnsi="仿宋_GB2312" w:eastAsia="仿宋_GB2312" w:cs="仿宋_GB2312"/>
                <w:color w:val="auto"/>
                <w:sz w:val="24"/>
                <w:szCs w:val="24"/>
                <w:highlight w:val="none"/>
              </w:rPr>
              <w:t>代理服务费用收取对象：中标/成交供应商</w:t>
            </w:r>
          </w:p>
          <w:p w14:paraId="0D1378D9">
            <w:pPr>
              <w:pStyle w:val="11"/>
              <w:jc w:val="left"/>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代理服务费收费标准：服务类: 中标金额 (万元)费率;[0-100]1.5%;(100-500]0.8%;(500-1000]0.45%。注:1、代 理服务费的收取按差额定率累进法计算,由中标人支付。 2、中标人以转账或汇款方式提交。3、中标人为中小企业的，其代理服务费按照上述服务收费标准下浮10%进行支付。4、账户信息：</w:t>
            </w:r>
            <w:r>
              <w:rPr>
                <w:rFonts w:hint="eastAsia" w:ascii="仿宋_GB2312" w:hAnsi="仿宋_GB2312" w:eastAsia="仿宋_GB2312" w:cs="仿宋_GB2312"/>
                <w:color w:val="auto"/>
                <w:sz w:val="24"/>
                <w:szCs w:val="24"/>
                <w:highlight w:val="none"/>
              </w:rPr>
              <w:t>收款单位：厦门住总建设有限公司开户行：中国建设银行股份有限公司厦门城市建设支行</w:t>
            </w:r>
          </w:p>
          <w:p w14:paraId="3DB2DE54">
            <w:pPr>
              <w:pStyle w:val="11"/>
              <w:jc w:val="left"/>
              <w:rPr>
                <w:color w:val="auto"/>
                <w:sz w:val="24"/>
                <w:szCs w:val="24"/>
                <w:highlight w:val="none"/>
              </w:rPr>
            </w:pPr>
            <w:r>
              <w:rPr>
                <w:rFonts w:hint="eastAsia" w:ascii="仿宋_GB2312" w:hAnsi="仿宋_GB2312" w:eastAsia="仿宋_GB2312" w:cs="仿宋_GB2312"/>
                <w:color w:val="auto"/>
                <w:sz w:val="24"/>
                <w:szCs w:val="24"/>
                <w:highlight w:val="none"/>
              </w:rPr>
              <w:t>账号：35101564901050004904</w:t>
            </w:r>
            <w:r>
              <w:rPr>
                <w:rFonts w:ascii="仿宋_GB2312" w:hAnsi="仿宋_GB2312" w:eastAsia="仿宋_GB2312" w:cs="仿宋_GB2312"/>
                <w:color w:val="auto"/>
                <w:sz w:val="24"/>
                <w:szCs w:val="24"/>
                <w:highlight w:val="none"/>
              </w:rPr>
              <w:t>。5、代理服务费事宜联系人：</w:t>
            </w:r>
            <w:r>
              <w:rPr>
                <w:rFonts w:hint="eastAsia" w:ascii="仿宋_GB2312" w:hAnsi="仿宋_GB2312" w:eastAsia="仿宋_GB2312" w:cs="仿宋_GB2312"/>
                <w:color w:val="auto"/>
                <w:sz w:val="24"/>
                <w:szCs w:val="24"/>
                <w:highlight w:val="none"/>
              </w:rPr>
              <w:t>陈琼霓 18259252336</w:t>
            </w:r>
            <w:r>
              <w:rPr>
                <w:rFonts w:ascii="仿宋_GB2312" w:hAnsi="仿宋_GB2312" w:eastAsia="仿宋_GB2312" w:cs="仿宋_GB2312"/>
                <w:color w:val="auto"/>
                <w:sz w:val="24"/>
                <w:szCs w:val="24"/>
                <w:highlight w:val="none"/>
              </w:rPr>
              <w:t>。6、因供应商自身原因导致最终无法承接项目的，代理服务费不予退还。</w:t>
            </w:r>
          </w:p>
          <w:p w14:paraId="7C5B8B70">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(2)其他：</w:t>
            </w:r>
          </w:p>
          <w:p w14:paraId="75724DF8">
            <w:pPr>
              <w:pStyle w:val="11"/>
              <w:jc w:val="left"/>
              <w:rPr>
                <w:color w:val="auto"/>
                <w:sz w:val="24"/>
                <w:szCs w:val="24"/>
                <w:highlight w:val="none"/>
              </w:rPr>
            </w:pPr>
            <w:r>
              <w:rPr>
                <w:rFonts w:ascii="仿宋_GB2312" w:hAnsi="仿宋_GB2312" w:eastAsia="仿宋_GB2312" w:cs="仿宋_GB2312"/>
                <w:color w:val="auto"/>
                <w:sz w:val="24"/>
                <w:szCs w:val="24"/>
                <w:highlight w:val="none"/>
              </w:rPr>
              <w:t>无</w:t>
            </w:r>
          </w:p>
        </w:tc>
      </w:tr>
      <w:tr w14:paraId="3A345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3" w:type="dxa"/>
            <w:gridSpan w:val="2"/>
          </w:tcPr>
          <w:p w14:paraId="00888BF6">
            <w:pPr>
              <w:pStyle w:val="11"/>
              <w:jc w:val="left"/>
              <w:rPr>
                <w:color w:val="auto"/>
                <w:sz w:val="24"/>
                <w:szCs w:val="24"/>
                <w:highlight w:val="none"/>
              </w:rPr>
            </w:pPr>
            <w:r>
              <w:rPr>
                <w:rFonts w:ascii="仿宋_GB2312" w:hAnsi="仿宋_GB2312" w:eastAsia="仿宋_GB2312" w:cs="仿宋_GB2312"/>
                <w:color w:val="auto"/>
                <w:sz w:val="24"/>
                <w:szCs w:val="24"/>
                <w:highlight w:val="none"/>
              </w:rPr>
              <w:t>备注</w:t>
            </w:r>
          </w:p>
        </w:tc>
        <w:tc>
          <w:tcPr>
            <w:tcW w:w="6239" w:type="dxa"/>
          </w:tcPr>
          <w:p w14:paraId="2DB43E69">
            <w:pPr>
              <w:pStyle w:val="11"/>
              <w:jc w:val="left"/>
              <w:rPr>
                <w:color w:val="auto"/>
                <w:sz w:val="24"/>
                <w:szCs w:val="24"/>
                <w:highlight w:val="none"/>
              </w:rPr>
            </w:pPr>
            <w:r>
              <w:rPr>
                <w:rFonts w:ascii="仿宋_GB2312" w:hAnsi="仿宋_GB2312" w:eastAsia="仿宋_GB2312" w:cs="仿宋_GB2312"/>
                <w:color w:val="auto"/>
                <w:sz w:val="24"/>
                <w:szCs w:val="24"/>
                <w:highlight w:val="none"/>
              </w:rPr>
              <w:t>后有投标人须知前附表2，请勿遗漏。</w:t>
            </w:r>
          </w:p>
        </w:tc>
      </w:tr>
    </w:tbl>
    <w:p w14:paraId="36718B49">
      <w:pPr>
        <w:pStyle w:val="11"/>
        <w:jc w:val="both"/>
        <w:outlineLvl w:val="2"/>
        <w:rPr>
          <w:color w:val="auto"/>
          <w:sz w:val="24"/>
          <w:szCs w:val="24"/>
          <w:highlight w:val="none"/>
        </w:rPr>
      </w:pPr>
      <w:r>
        <w:rPr>
          <w:rFonts w:ascii="仿宋_GB2312" w:hAnsi="仿宋_GB2312" w:eastAsia="仿宋_GB2312" w:cs="仿宋_GB2312"/>
          <w:b/>
          <w:color w:val="auto"/>
          <w:sz w:val="24"/>
          <w:szCs w:val="24"/>
          <w:highlight w:val="none"/>
        </w:rPr>
        <w:t>二、投标人须知前附表2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4"/>
        <w:gridCol w:w="7452"/>
      </w:tblGrid>
      <w:tr w14:paraId="34FC4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EE39BA6">
            <w:pPr>
              <w:pStyle w:val="11"/>
              <w:jc w:val="left"/>
              <w:rPr>
                <w:color w:val="auto"/>
                <w:sz w:val="24"/>
                <w:szCs w:val="24"/>
                <w:highlight w:val="none"/>
              </w:rPr>
            </w:pPr>
            <w:r>
              <w:rPr>
                <w:rFonts w:ascii="仿宋_GB2312" w:hAnsi="仿宋_GB2312" w:eastAsia="仿宋_GB2312" w:cs="仿宋_GB2312"/>
                <w:color w:val="auto"/>
                <w:sz w:val="24"/>
                <w:szCs w:val="24"/>
                <w:highlight w:val="none"/>
              </w:rPr>
              <w:t>关于电子招标投标活动的专门规定</w:t>
            </w:r>
          </w:p>
        </w:tc>
      </w:tr>
      <w:tr w14:paraId="5A122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4" w:type="dxa"/>
          </w:tcPr>
          <w:p w14:paraId="46D7C0F0">
            <w:pPr>
              <w:pStyle w:val="11"/>
              <w:jc w:val="left"/>
              <w:rPr>
                <w:color w:val="auto"/>
                <w:sz w:val="24"/>
                <w:szCs w:val="24"/>
                <w:highlight w:val="none"/>
              </w:rPr>
            </w:pPr>
            <w:r>
              <w:rPr>
                <w:rFonts w:ascii="仿宋_GB2312" w:hAnsi="仿宋_GB2312" w:eastAsia="仿宋_GB2312" w:cs="仿宋_GB2312"/>
                <w:color w:val="auto"/>
                <w:sz w:val="24"/>
                <w:szCs w:val="24"/>
                <w:highlight w:val="none"/>
              </w:rPr>
              <w:t>序号</w:t>
            </w:r>
          </w:p>
        </w:tc>
        <w:tc>
          <w:tcPr>
            <w:tcW w:w="7452" w:type="dxa"/>
          </w:tcPr>
          <w:p w14:paraId="3B58884C">
            <w:pPr>
              <w:pStyle w:val="11"/>
              <w:jc w:val="left"/>
              <w:rPr>
                <w:color w:val="auto"/>
                <w:sz w:val="24"/>
                <w:szCs w:val="24"/>
                <w:highlight w:val="none"/>
              </w:rPr>
            </w:pPr>
            <w:r>
              <w:rPr>
                <w:rFonts w:ascii="仿宋_GB2312" w:hAnsi="仿宋_GB2312" w:eastAsia="仿宋_GB2312" w:cs="仿宋_GB2312"/>
                <w:color w:val="auto"/>
                <w:sz w:val="24"/>
                <w:szCs w:val="24"/>
                <w:highlight w:val="none"/>
              </w:rPr>
              <w:t>编列内容</w:t>
            </w:r>
          </w:p>
        </w:tc>
      </w:tr>
      <w:tr w14:paraId="67E99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4" w:type="dxa"/>
          </w:tcPr>
          <w:p w14:paraId="7DB220FB">
            <w:pPr>
              <w:pStyle w:val="11"/>
              <w:jc w:val="left"/>
              <w:rPr>
                <w:color w:val="auto"/>
                <w:sz w:val="24"/>
                <w:szCs w:val="24"/>
                <w:highlight w:val="none"/>
              </w:rPr>
            </w:pPr>
            <w:r>
              <w:rPr>
                <w:rFonts w:ascii="仿宋_GB2312" w:hAnsi="仿宋_GB2312" w:eastAsia="仿宋_GB2312" w:cs="仿宋_GB2312"/>
                <w:color w:val="auto"/>
                <w:sz w:val="24"/>
                <w:szCs w:val="24"/>
                <w:highlight w:val="none"/>
              </w:rPr>
              <w:t>1</w:t>
            </w:r>
          </w:p>
        </w:tc>
        <w:tc>
          <w:tcPr>
            <w:tcW w:w="7452" w:type="dxa"/>
          </w:tcPr>
          <w:p w14:paraId="50A9094D">
            <w:pPr>
              <w:pStyle w:val="11"/>
              <w:jc w:val="left"/>
              <w:rPr>
                <w:color w:val="auto"/>
                <w:sz w:val="24"/>
                <w:szCs w:val="24"/>
                <w:highlight w:val="none"/>
              </w:rPr>
            </w:pPr>
            <w:r>
              <w:rPr>
                <w:rFonts w:ascii="仿宋_GB2312" w:hAnsi="仿宋_GB2312" w:eastAsia="仿宋_GB2312" w:cs="仿宋_GB2312"/>
                <w:color w:val="auto"/>
                <w:sz w:val="24"/>
                <w:szCs w:val="24"/>
                <w:highlight w:val="none"/>
              </w:rPr>
              <w:t>（1）电子招标投标活动的专门规定适用本项目电子招标投标活动。</w:t>
            </w:r>
          </w:p>
          <w:p w14:paraId="159AF0F4">
            <w:pPr>
              <w:pStyle w:val="11"/>
              <w:jc w:val="left"/>
              <w:rPr>
                <w:color w:val="auto"/>
                <w:sz w:val="24"/>
                <w:szCs w:val="24"/>
                <w:highlight w:val="none"/>
              </w:rPr>
            </w:pPr>
            <w:r>
              <w:rPr>
                <w:rFonts w:ascii="仿宋_GB2312" w:hAnsi="仿宋_GB2312" w:eastAsia="仿宋_GB2312" w:cs="仿宋_GB2312"/>
                <w:color w:val="auto"/>
                <w:sz w:val="24"/>
                <w:szCs w:val="24"/>
                <w:highlight w:val="none"/>
              </w:rPr>
              <w:t>（2）将招标文件</w:t>
            </w:r>
          </w:p>
          <w:p w14:paraId="519950CA">
            <w:pPr>
              <w:pStyle w:val="11"/>
              <w:jc w:val="left"/>
              <w:rPr>
                <w:color w:val="auto"/>
                <w:sz w:val="24"/>
                <w:szCs w:val="24"/>
                <w:highlight w:val="none"/>
              </w:rPr>
            </w:pPr>
            <w:r>
              <w:rPr>
                <w:rFonts w:ascii="仿宋_GB2312" w:hAnsi="仿宋_GB2312" w:eastAsia="仿宋_GB2312" w:cs="仿宋_GB2312"/>
                <w:color w:val="auto"/>
                <w:sz w:val="24"/>
                <w:szCs w:val="24"/>
                <w:highlight w:val="none"/>
              </w:rPr>
              <w:t>/ 的内容修正为下列内容：</w:t>
            </w:r>
          </w:p>
          <w:p w14:paraId="65344FE4">
            <w:pPr>
              <w:pStyle w:val="11"/>
              <w:jc w:val="left"/>
              <w:rPr>
                <w:color w:val="auto"/>
                <w:sz w:val="24"/>
                <w:szCs w:val="24"/>
                <w:highlight w:val="none"/>
              </w:rPr>
            </w:pPr>
            <w:r>
              <w:rPr>
                <w:rFonts w:ascii="仿宋_GB2312" w:hAnsi="仿宋_GB2312" w:eastAsia="仿宋_GB2312" w:cs="仿宋_GB2312"/>
                <w:color w:val="auto"/>
                <w:sz w:val="24"/>
                <w:szCs w:val="24"/>
                <w:highlight w:val="none"/>
              </w:rPr>
              <w:t>/ 后适用本项目的电子招标投标活动。</w:t>
            </w:r>
          </w:p>
          <w:p w14:paraId="033EFF2F">
            <w:pPr>
              <w:pStyle w:val="11"/>
              <w:jc w:val="left"/>
              <w:rPr>
                <w:color w:val="auto"/>
                <w:sz w:val="24"/>
                <w:szCs w:val="24"/>
                <w:highlight w:val="none"/>
              </w:rPr>
            </w:pPr>
            <w:r>
              <w:rPr>
                <w:rFonts w:ascii="仿宋_GB2312" w:hAnsi="仿宋_GB2312" w:eastAsia="仿宋_GB2312" w:cs="仿宋_GB2312"/>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230D7F14">
            <w:pPr>
              <w:pStyle w:val="11"/>
              <w:jc w:val="left"/>
              <w:rPr>
                <w:color w:val="auto"/>
                <w:sz w:val="24"/>
                <w:szCs w:val="24"/>
                <w:highlight w:val="none"/>
              </w:rPr>
            </w:pPr>
            <w:r>
              <w:rPr>
                <w:rFonts w:ascii="仿宋_GB2312" w:hAnsi="仿宋_GB2312" w:eastAsia="仿宋_GB2312" w:cs="仿宋_GB2312"/>
                <w:color w:val="auto"/>
                <w:sz w:val="24"/>
                <w:szCs w:val="24"/>
                <w:highlight w:val="none"/>
              </w:rPr>
              <w:t>①电子招标投标活动的具体操作流程以福建省政府采购网上公开信息系统设定的为准。</w:t>
            </w:r>
          </w:p>
          <w:p w14:paraId="3BA98479">
            <w:pPr>
              <w:pStyle w:val="11"/>
              <w:jc w:val="left"/>
              <w:rPr>
                <w:color w:val="auto"/>
                <w:sz w:val="24"/>
                <w:szCs w:val="24"/>
                <w:highlight w:val="none"/>
              </w:rPr>
            </w:pPr>
            <w:r>
              <w:rPr>
                <w:rFonts w:ascii="仿宋_GB2312" w:hAnsi="仿宋_GB2312" w:eastAsia="仿宋_GB2312" w:cs="仿宋_GB2312"/>
                <w:color w:val="auto"/>
                <w:sz w:val="24"/>
                <w:szCs w:val="24"/>
                <w:highlight w:val="none"/>
              </w:rPr>
              <w:t>②关于电子投标文件：</w:t>
            </w:r>
          </w:p>
          <w:p w14:paraId="215310A9">
            <w:pPr>
              <w:pStyle w:val="11"/>
              <w:jc w:val="left"/>
              <w:rPr>
                <w:color w:val="auto"/>
                <w:sz w:val="24"/>
                <w:szCs w:val="24"/>
                <w:highlight w:val="none"/>
              </w:rPr>
            </w:pPr>
            <w:r>
              <w:rPr>
                <w:rFonts w:ascii="仿宋_GB2312" w:hAnsi="仿宋_GB2312" w:eastAsia="仿宋_GB2312" w:cs="仿宋_GB2312"/>
                <w:color w:val="auto"/>
                <w:sz w:val="24"/>
                <w:szCs w:val="24"/>
                <w:highlight w:val="none"/>
              </w:rPr>
              <w:t>a.投标人应按照福建省政府采购网上公开信息系统设定的评审节点编制电子投标文件，否则资格审查小组、评标委员会将按照不利于投标人的内容进行认定。</w:t>
            </w:r>
          </w:p>
          <w:p w14:paraId="12D43073">
            <w:pPr>
              <w:pStyle w:val="11"/>
              <w:jc w:val="left"/>
              <w:rPr>
                <w:color w:val="auto"/>
                <w:sz w:val="24"/>
                <w:szCs w:val="24"/>
                <w:highlight w:val="none"/>
              </w:rPr>
            </w:pPr>
            <w:r>
              <w:rPr>
                <w:rFonts w:ascii="仿宋_GB2312" w:hAnsi="仿宋_GB2312" w:eastAsia="仿宋_GB2312" w:cs="仿宋_GB2312"/>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6272A4E">
            <w:pPr>
              <w:pStyle w:val="11"/>
              <w:jc w:val="left"/>
              <w:rPr>
                <w:color w:val="auto"/>
                <w:sz w:val="24"/>
                <w:szCs w:val="24"/>
                <w:highlight w:val="none"/>
              </w:rPr>
            </w:pPr>
            <w:r>
              <w:rPr>
                <w:rFonts w:ascii="仿宋_GB2312" w:hAnsi="仿宋_GB2312" w:eastAsia="仿宋_GB2312" w:cs="仿宋_GB2312"/>
                <w:color w:val="auto"/>
                <w:sz w:val="24"/>
                <w:szCs w:val="24"/>
                <w:highlight w:val="none"/>
              </w:rPr>
              <w:t>③关于证明材料或资料：</w:t>
            </w:r>
          </w:p>
          <w:p w14:paraId="5412E94D">
            <w:pPr>
              <w:pStyle w:val="11"/>
              <w:jc w:val="left"/>
              <w:rPr>
                <w:color w:val="auto"/>
                <w:sz w:val="24"/>
                <w:szCs w:val="24"/>
                <w:highlight w:val="none"/>
              </w:rPr>
            </w:pPr>
            <w:r>
              <w:rPr>
                <w:rFonts w:ascii="仿宋_GB2312" w:hAnsi="仿宋_GB2312" w:eastAsia="仿宋_GB2312" w:cs="仿宋_GB2312"/>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D4B7350">
            <w:pPr>
              <w:pStyle w:val="11"/>
              <w:jc w:val="left"/>
              <w:rPr>
                <w:color w:val="auto"/>
                <w:sz w:val="24"/>
                <w:szCs w:val="24"/>
                <w:highlight w:val="none"/>
              </w:rPr>
            </w:pPr>
            <w:r>
              <w:rPr>
                <w:rFonts w:ascii="仿宋_GB2312" w:hAnsi="仿宋_GB2312" w:eastAsia="仿宋_GB2312" w:cs="仿宋_GB2312"/>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D95EEF9">
            <w:pPr>
              <w:pStyle w:val="11"/>
              <w:jc w:val="left"/>
              <w:rPr>
                <w:color w:val="auto"/>
                <w:sz w:val="24"/>
                <w:szCs w:val="24"/>
                <w:highlight w:val="none"/>
              </w:rPr>
            </w:pPr>
            <w:r>
              <w:rPr>
                <w:rFonts w:ascii="仿宋_GB2312" w:hAnsi="仿宋_GB2312" w:eastAsia="仿宋_GB2312" w:cs="仿宋_GB2312"/>
                <w:color w:val="auto"/>
                <w:sz w:val="24"/>
                <w:szCs w:val="24"/>
                <w:highlight w:val="none"/>
              </w:rPr>
              <w:t>④关于“全称”、“投标人代表签字”及“加盖单位公章”：</w:t>
            </w:r>
          </w:p>
          <w:p w14:paraId="471F46CE">
            <w:pPr>
              <w:pStyle w:val="11"/>
              <w:jc w:val="left"/>
              <w:rPr>
                <w:color w:val="auto"/>
                <w:sz w:val="24"/>
                <w:szCs w:val="24"/>
                <w:highlight w:val="none"/>
              </w:rPr>
            </w:pPr>
            <w:r>
              <w:rPr>
                <w:rFonts w:ascii="仿宋_GB2312" w:hAnsi="仿宋_GB2312" w:eastAsia="仿宋_GB2312" w:cs="仿宋_GB2312"/>
                <w:color w:val="auto"/>
                <w:sz w:val="24"/>
                <w:szCs w:val="24"/>
                <w:highlight w:val="none"/>
              </w:rPr>
              <w:t>a.在电子投标文件中，涉及“全称”和“投标人代表签字”的内容可使用打字录入方式完成。</w:t>
            </w:r>
          </w:p>
          <w:p w14:paraId="3E70F8AE">
            <w:pPr>
              <w:pStyle w:val="11"/>
              <w:jc w:val="left"/>
              <w:rPr>
                <w:color w:val="auto"/>
                <w:sz w:val="24"/>
                <w:szCs w:val="24"/>
                <w:highlight w:val="none"/>
              </w:rPr>
            </w:pPr>
            <w:r>
              <w:rPr>
                <w:rFonts w:ascii="仿宋_GB2312" w:hAnsi="仿宋_GB2312" w:eastAsia="仿宋_GB2312" w:cs="仿宋_GB2312"/>
                <w:color w:val="auto"/>
                <w:sz w:val="24"/>
                <w:szCs w:val="24"/>
                <w:highlight w:val="none"/>
              </w:rPr>
              <w:t>b.在电子投标文件中，涉及“加盖单位公章”的内容应使用投标人的CA证书完成，否则投标无效。</w:t>
            </w:r>
          </w:p>
          <w:p w14:paraId="70A9A8B6">
            <w:pPr>
              <w:pStyle w:val="11"/>
              <w:jc w:val="left"/>
              <w:rPr>
                <w:color w:val="auto"/>
                <w:sz w:val="24"/>
                <w:szCs w:val="24"/>
                <w:highlight w:val="none"/>
              </w:rPr>
            </w:pPr>
            <w:r>
              <w:rPr>
                <w:rFonts w:ascii="仿宋_GB2312" w:hAnsi="仿宋_GB2312" w:eastAsia="仿宋_GB2312" w:cs="仿宋_GB2312"/>
                <w:color w:val="auto"/>
                <w:sz w:val="24"/>
                <w:szCs w:val="24"/>
                <w:highlight w:val="none"/>
              </w:rPr>
              <w:t>c.在电子投标文件中，若投标人按照本增列内容第④点第b项规定加盖其单位公章，则出现无全称、或投标人代表未签字等情形，不视为投标无效。</w:t>
            </w:r>
          </w:p>
          <w:p w14:paraId="1948BBE3">
            <w:pPr>
              <w:pStyle w:val="11"/>
              <w:jc w:val="left"/>
              <w:rPr>
                <w:color w:val="auto"/>
                <w:sz w:val="24"/>
                <w:szCs w:val="24"/>
                <w:highlight w:val="none"/>
              </w:rPr>
            </w:pPr>
            <w:r>
              <w:rPr>
                <w:rFonts w:ascii="仿宋_GB2312" w:hAnsi="仿宋_GB2312" w:eastAsia="仿宋_GB2312" w:cs="仿宋_GB2312"/>
                <w:color w:val="auto"/>
                <w:sz w:val="24"/>
                <w:szCs w:val="24"/>
                <w:highlight w:val="none"/>
              </w:rPr>
              <w:t>⑤关于投标人的CA证书：</w:t>
            </w:r>
          </w:p>
          <w:p w14:paraId="12C168F7">
            <w:pPr>
              <w:pStyle w:val="11"/>
              <w:jc w:val="left"/>
              <w:rPr>
                <w:color w:val="auto"/>
                <w:sz w:val="24"/>
                <w:szCs w:val="24"/>
                <w:highlight w:val="none"/>
              </w:rPr>
            </w:pPr>
            <w:r>
              <w:rPr>
                <w:rFonts w:ascii="仿宋_GB2312" w:hAnsi="仿宋_GB2312" w:eastAsia="仿宋_GB2312" w:cs="仿宋_GB2312"/>
                <w:color w:val="auto"/>
                <w:sz w:val="24"/>
                <w:szCs w:val="24"/>
                <w:highlight w:val="none"/>
              </w:rPr>
              <w:t>a.投标人的CA证书应在系统规定时间内使用CA证书进行电子投标文件的解密操作，逾期未解密的视为放弃投标。</w:t>
            </w:r>
          </w:p>
          <w:p w14:paraId="483F6563">
            <w:pPr>
              <w:pStyle w:val="11"/>
              <w:jc w:val="left"/>
              <w:rPr>
                <w:color w:val="auto"/>
                <w:sz w:val="24"/>
                <w:szCs w:val="24"/>
                <w:highlight w:val="none"/>
              </w:rPr>
            </w:pPr>
            <w:r>
              <w:rPr>
                <w:rFonts w:ascii="仿宋_GB2312" w:hAnsi="仿宋_GB2312" w:eastAsia="仿宋_GB2312" w:cs="仿宋_GB2312"/>
                <w:color w:val="auto"/>
                <w:sz w:val="24"/>
                <w:szCs w:val="24"/>
                <w:highlight w:val="none"/>
              </w:rPr>
              <w:t>b.投标人的CA证书可采用信封（包括但不限于：信封、档案袋、文件袋等）作为外包装进行单独包装。外包装密封、不密封皆可。</w:t>
            </w:r>
          </w:p>
          <w:p w14:paraId="3BD84104">
            <w:pPr>
              <w:pStyle w:val="11"/>
              <w:jc w:val="left"/>
              <w:rPr>
                <w:color w:val="auto"/>
                <w:sz w:val="24"/>
                <w:szCs w:val="24"/>
                <w:highlight w:val="none"/>
              </w:rPr>
            </w:pPr>
            <w:r>
              <w:rPr>
                <w:rFonts w:ascii="仿宋_GB2312" w:hAnsi="仿宋_GB2312" w:eastAsia="仿宋_GB2312" w:cs="仿宋_GB2312"/>
                <w:color w:val="auto"/>
                <w:sz w:val="24"/>
                <w:szCs w:val="24"/>
                <w:highlight w:val="none"/>
              </w:rPr>
              <w:t>c.投标人的CA证书或外包装应标记“项目名称、项目编号、投标人的全称”等内容，以方便识别、使用。</w:t>
            </w:r>
          </w:p>
          <w:p w14:paraId="6B0AFFFD">
            <w:pPr>
              <w:pStyle w:val="11"/>
              <w:jc w:val="left"/>
              <w:rPr>
                <w:color w:val="auto"/>
                <w:sz w:val="24"/>
                <w:szCs w:val="24"/>
                <w:highlight w:val="none"/>
              </w:rPr>
            </w:pPr>
            <w:r>
              <w:rPr>
                <w:rFonts w:ascii="仿宋_GB2312" w:hAnsi="仿宋_GB2312" w:eastAsia="仿宋_GB2312" w:cs="仿宋_GB2312"/>
                <w:color w:val="auto"/>
                <w:sz w:val="24"/>
                <w:szCs w:val="24"/>
                <w:highlight w:val="none"/>
              </w:rPr>
              <w:t>d.投标人的CA证书应能正常、有效使用，否则产生不利后果由投标人承担责任。</w:t>
            </w:r>
          </w:p>
          <w:p w14:paraId="52F8D2AC">
            <w:pPr>
              <w:pStyle w:val="11"/>
              <w:jc w:val="left"/>
              <w:rPr>
                <w:color w:val="auto"/>
                <w:sz w:val="24"/>
                <w:szCs w:val="24"/>
                <w:highlight w:val="none"/>
              </w:rPr>
            </w:pPr>
            <w:r>
              <w:rPr>
                <w:rFonts w:ascii="仿宋_GB2312" w:hAnsi="仿宋_GB2312" w:eastAsia="仿宋_GB2312" w:cs="仿宋_GB2312"/>
                <w:color w:val="auto"/>
                <w:sz w:val="24"/>
                <w:szCs w:val="24"/>
                <w:highlight w:val="none"/>
              </w:rPr>
              <w:t>⑥关于投标截止时间过后</w:t>
            </w:r>
          </w:p>
          <w:p w14:paraId="67DE0286">
            <w:pPr>
              <w:pStyle w:val="11"/>
              <w:jc w:val="left"/>
              <w:rPr>
                <w:color w:val="auto"/>
                <w:sz w:val="24"/>
                <w:szCs w:val="24"/>
                <w:highlight w:val="none"/>
              </w:rPr>
            </w:pPr>
            <w:r>
              <w:rPr>
                <w:rFonts w:ascii="仿宋_GB2312" w:hAnsi="仿宋_GB2312" w:eastAsia="仿宋_GB2312" w:cs="仿宋_GB2312"/>
                <w:color w:val="auto"/>
                <w:sz w:val="24"/>
                <w:szCs w:val="24"/>
                <w:highlight w:val="none"/>
              </w:rPr>
              <w:t>a.未按招标文件规定提交投标保证金的，其投标将按无效投标处理。</w:t>
            </w:r>
          </w:p>
          <w:p w14:paraId="5A909470">
            <w:pPr>
              <w:pStyle w:val="11"/>
              <w:jc w:val="left"/>
              <w:rPr>
                <w:color w:val="auto"/>
                <w:sz w:val="24"/>
                <w:szCs w:val="24"/>
                <w:highlight w:val="none"/>
              </w:rPr>
            </w:pPr>
            <w:r>
              <w:rPr>
                <w:rFonts w:ascii="仿宋_GB2312" w:hAnsi="仿宋_GB2312" w:eastAsia="仿宋_GB2312" w:cs="仿宋_GB2312"/>
                <w:color w:val="auto"/>
                <w:sz w:val="24"/>
                <w:szCs w:val="24"/>
                <w:highlight w:val="none"/>
              </w:rPr>
              <w:t>b.有下列情形之一的，其投标无效,其保证金不予退还或通过投标保函进行索赔：</w:t>
            </w:r>
          </w:p>
          <w:p w14:paraId="3C7D5AAB">
            <w:pPr>
              <w:pStyle w:val="11"/>
              <w:jc w:val="left"/>
              <w:rPr>
                <w:color w:val="auto"/>
                <w:sz w:val="24"/>
                <w:szCs w:val="24"/>
                <w:highlight w:val="none"/>
              </w:rPr>
            </w:pPr>
            <w:r>
              <w:rPr>
                <w:rFonts w:ascii="仿宋_GB2312" w:hAnsi="仿宋_GB2312" w:eastAsia="仿宋_GB2312" w:cs="仿宋_GB2312"/>
                <w:color w:val="auto"/>
                <w:sz w:val="24"/>
                <w:szCs w:val="24"/>
                <w:highlight w:val="none"/>
              </w:rPr>
              <w:t>b1不同投标人的电子投标文件具有相同内部识别码；</w:t>
            </w:r>
          </w:p>
          <w:p w14:paraId="62A5822F">
            <w:pPr>
              <w:pStyle w:val="11"/>
              <w:jc w:val="left"/>
              <w:rPr>
                <w:color w:val="auto"/>
                <w:sz w:val="24"/>
                <w:szCs w:val="24"/>
                <w:highlight w:val="none"/>
              </w:rPr>
            </w:pPr>
            <w:r>
              <w:rPr>
                <w:rFonts w:ascii="仿宋_GB2312" w:hAnsi="仿宋_GB2312" w:eastAsia="仿宋_GB2312" w:cs="仿宋_GB2312"/>
                <w:color w:val="auto"/>
                <w:sz w:val="24"/>
                <w:szCs w:val="24"/>
                <w:highlight w:val="none"/>
              </w:rPr>
              <w:t>b2不同投标人的投标保证金从同一单位或个人的账户转出；</w:t>
            </w:r>
          </w:p>
          <w:p w14:paraId="5E8160D6">
            <w:pPr>
              <w:pStyle w:val="11"/>
              <w:jc w:val="left"/>
              <w:rPr>
                <w:color w:val="auto"/>
                <w:sz w:val="24"/>
                <w:szCs w:val="24"/>
                <w:highlight w:val="none"/>
              </w:rPr>
            </w:pPr>
            <w:r>
              <w:rPr>
                <w:rFonts w:ascii="仿宋_GB2312" w:hAnsi="仿宋_GB2312" w:eastAsia="仿宋_GB2312" w:cs="仿宋_GB2312"/>
                <w:color w:val="auto"/>
                <w:sz w:val="24"/>
                <w:szCs w:val="24"/>
                <w:highlight w:val="none"/>
              </w:rPr>
              <w:t>b3投标人的投标保证金同一采购包下有其他投标人提交的投标保证金；</w:t>
            </w:r>
          </w:p>
          <w:p w14:paraId="0E8D2E12">
            <w:pPr>
              <w:pStyle w:val="11"/>
              <w:jc w:val="left"/>
              <w:rPr>
                <w:color w:val="auto"/>
                <w:sz w:val="24"/>
                <w:szCs w:val="24"/>
                <w:highlight w:val="none"/>
              </w:rPr>
            </w:pPr>
            <w:r>
              <w:rPr>
                <w:rFonts w:ascii="仿宋_GB2312" w:hAnsi="仿宋_GB2312" w:eastAsia="仿宋_GB2312" w:cs="仿宋_GB2312"/>
                <w:color w:val="auto"/>
                <w:sz w:val="24"/>
                <w:szCs w:val="24"/>
                <w:highlight w:val="none"/>
              </w:rPr>
              <w:t>b4不同投标人存在串通投标的其他情形。</w:t>
            </w:r>
          </w:p>
          <w:p w14:paraId="62F506A9">
            <w:pPr>
              <w:pStyle w:val="11"/>
              <w:jc w:val="left"/>
              <w:rPr>
                <w:color w:val="auto"/>
                <w:sz w:val="24"/>
                <w:szCs w:val="24"/>
                <w:highlight w:val="none"/>
              </w:rPr>
            </w:pPr>
            <w:r>
              <w:rPr>
                <w:rFonts w:ascii="仿宋_GB2312" w:hAnsi="仿宋_GB2312" w:eastAsia="仿宋_GB2312" w:cs="仿宋_GB2312"/>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60BE1AE1">
            <w:pPr>
              <w:pStyle w:val="11"/>
              <w:jc w:val="left"/>
              <w:rPr>
                <w:color w:val="auto"/>
                <w:sz w:val="24"/>
                <w:szCs w:val="24"/>
                <w:highlight w:val="none"/>
              </w:rPr>
            </w:pPr>
            <w:r>
              <w:rPr>
                <w:rFonts w:ascii="仿宋_GB2312" w:hAnsi="仿宋_GB2312" w:eastAsia="仿宋_GB2312" w:cs="仿宋_GB2312"/>
                <w:color w:val="auto"/>
                <w:sz w:val="24"/>
                <w:szCs w:val="24"/>
                <w:highlight w:val="none"/>
              </w:rPr>
              <w:t>⑧其他：</w:t>
            </w:r>
          </w:p>
          <w:p w14:paraId="67B8D203">
            <w:pPr>
              <w:pStyle w:val="11"/>
              <w:jc w:val="left"/>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（1）登录福建省政府采购网厦门分网http:// 120.41.36.6/ → 【办事指南】→ 下载【供应商操作手册】，按手册指引操作。</w:t>
            </w:r>
          </w:p>
          <w:p w14:paraId="6843534B">
            <w:pPr>
              <w:pStyle w:val="11"/>
              <w:jc w:val="left"/>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（2）请投标人及时提前办理CA。</w:t>
            </w:r>
          </w:p>
          <w:p w14:paraId="68312465">
            <w:pPr>
              <w:pStyle w:val="11"/>
              <w:jc w:val="left"/>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（3）不同投标人用同一台电脑或同一IP上传投标文件或同一账户缴交投标保证金的，经系统识别确认情况属实将判定为串通投标。</w:t>
            </w:r>
          </w:p>
          <w:p w14:paraId="6DC58A25">
            <w:pPr>
              <w:pStyle w:val="11"/>
              <w:jc w:val="left"/>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（4）全文中带有“★”的条款为关键性条款，对这些关键性条款的任何负偏离或不满足将导致该投标作无效投标处理。</w:t>
            </w:r>
          </w:p>
          <w:p w14:paraId="18488153">
            <w:pPr>
              <w:pStyle w:val="11"/>
              <w:jc w:val="left"/>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（5）若招标文件第五章所述内容与其它部分的条款发生理解冲突，则以第五章所述内容为准；如招标文件发生变更，则相关条款的解释以更改通知为准。</w:t>
            </w:r>
          </w:p>
          <w:p w14:paraId="26097675">
            <w:pPr>
              <w:pStyle w:val="11"/>
              <w:jc w:val="left"/>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6）关于虚假投标的风险提示。《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供应商可登录中国政府采购网的“政府采购严重违法失信行为记录名单”查询，望引以为戒。</w:t>
            </w:r>
          </w:p>
          <w:p w14:paraId="698392B9">
            <w:pPr>
              <w:pStyle w:val="11"/>
              <w:jc w:val="left"/>
              <w:rPr>
                <w:rFonts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（7）对 ①一般资格证明文件：依法缴纳社会保障资金证明材料及依法缴纳税收证明材料要求的补充说明：享受缓缴或免缴社会保障资金、税收的企业需提供佐证材料，无法提供相关社会保障资金、税收缴纳证明材料的，提供有关情况说明视同社会保障资金、税收缴纳证明材料提交完整。</w:t>
            </w:r>
          </w:p>
          <w:p w14:paraId="76AD5185">
            <w:pPr>
              <w:pStyle w:val="11"/>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（8）根据闽财规[2023]29号文规定，福建省财政厅《关于福建省省级政府采购货物和服务项目招标文件编制指引和实施指引的补充通知（三）》（闽财购[2010]28号）已废止，取消本招标文件第七章 电子投标文件格式中“资格及资信证明部分中不得出现报价部分的全部或部分的投标报价信息（或组成资料），否则资格审查不合格。（联合体协议及分包意向协议中的比例规定，不适用本条款）”、“技术商务部分中不得出现报价部分的全部或部分的投标报价信息（或组成资料），否则符合性审查不合格。”的规定。</w:t>
            </w:r>
          </w:p>
          <w:p w14:paraId="3168482E">
            <w:pPr>
              <w:pStyle w:val="11"/>
              <w:jc w:val="left"/>
              <w:rPr>
                <w:color w:val="auto"/>
                <w:sz w:val="24"/>
                <w:szCs w:val="24"/>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9</w:t>
            </w:r>
            <w:r>
              <w:rPr>
                <w:rFonts w:hint="eastAsia" w:ascii="仿宋_GB2312" w:hAnsi="仿宋_GB2312" w:eastAsia="仿宋_GB2312" w:cs="仿宋_GB2312"/>
                <w:color w:val="auto"/>
                <w:sz w:val="21"/>
                <w:szCs w:val="21"/>
                <w:highlight w:val="none"/>
              </w:rPr>
              <w:t>）质疑函要求供应商提出质疑应当提交质疑函和必要的证明材料。质疑函应当包括下列内容：(一)供应商的姓名或者名称、地址、邮编、联系人及联系电话; (二)质疑项目的名称、编号; (三)具体、明确的质疑事项和与质疑事项相关的请求; (四)事实依据; (五)必要的法律依据; (六)提出质疑的日期。供应商为自然人的，应当由本人签字;供应商为法人或者其他组织的，应当由法定代表人、主要负责人，或者其授权代表签字或者盖章，并加盖单位公章。接收质疑：陈琼霓 18259252336，邮箱48410495@qq.com，通讯地址：厦门市思明区湖滨北路10号2C1单元。质疑函应采用下列方式之一提交：（1）邮件形式：将质疑函原件扫描发送至邮箱：邮箱48410495@qq.com收到质疑函的时间以邮箱显示的收到时间为准。质疑答复过程中需要核对原件的，质疑人应提供原件核查，否则相关资料可能不被认可。（2）快递形式：将质疑函原件快递至厦门市思明区湖滨北路10号2C1单元，收件人：电话18259252336。收到质疑函的时间以快递签收时间为准。（3）现场送达：将质疑函原件现场送至厦门市思明区湖滨北路10号2C1单元经办人手中。收到质疑函的时间以前台签收时间为准。注：提交质疑函须附上系统下载文件登记截图，质疑函须符合第三章第15条质疑的要求。</w:t>
            </w:r>
            <w:r>
              <w:rPr>
                <w:rFonts w:hint="eastAsia" w:ascii="仿宋_GB2312" w:hAnsi="仿宋_GB2312" w:eastAsia="仿宋_GB2312" w:cs="仿宋_GB2312"/>
                <w:color w:val="auto"/>
                <w:sz w:val="24"/>
                <w:szCs w:val="24"/>
                <w:highlight w:val="none"/>
              </w:rPr>
              <w:t xml:space="preserve"> </w:t>
            </w:r>
          </w:p>
        </w:tc>
      </w:tr>
    </w:tbl>
    <w:p w14:paraId="4257FD65">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5529952A">
      <w:pPr>
        <w:pStyle w:val="11"/>
        <w:jc w:val="center"/>
        <w:outlineLvl w:val="1"/>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第三章 投标人须知</w:t>
      </w:r>
    </w:p>
    <w:p w14:paraId="71A9EA18">
      <w:pPr>
        <w:pStyle w:val="11"/>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一、总则</w:t>
      </w:r>
    </w:p>
    <w:p w14:paraId="6250C44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1、适用范围</w:t>
      </w:r>
    </w:p>
    <w:p w14:paraId="3705C92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1.1适用于招标文件载明项目的政府采购活动（以下简称：“本次采购活动”）。</w:t>
      </w:r>
    </w:p>
    <w:p w14:paraId="45A1BB6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2、定义</w:t>
      </w:r>
    </w:p>
    <w:p w14:paraId="0DCCAED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2.1“采购标的”指招标文件载明的需要采购的货物或服务。</w:t>
      </w:r>
    </w:p>
    <w:p w14:paraId="49B1D0A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2.2“潜在投标人”指按照招标文件第一章第7条规定获取招标文件且有意向参加本项目投标的供应商。</w:t>
      </w:r>
    </w:p>
    <w:p w14:paraId="48A62FA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2.3“投标人”指按照招标文件第一章第7条规定获取招标文件并参加本项目投标的供应商。</w:t>
      </w:r>
    </w:p>
    <w:p w14:paraId="782A4FB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2.4“单位负责人”指单位法定代表人或法律、法规规定代表单位行使职权的主要负责人。</w:t>
      </w:r>
    </w:p>
    <w:p w14:paraId="3E164E1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2.5“投标人代表”指投标人的单位负责人或“单位负责人授权书”中载明的接受授权方。</w:t>
      </w:r>
    </w:p>
    <w:p w14:paraId="3E9FDC84">
      <w:pPr>
        <w:pStyle w:val="11"/>
        <w:spacing w:line="360" w:lineRule="auto"/>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二、投标人</w:t>
      </w:r>
    </w:p>
    <w:p w14:paraId="582D8675">
      <w:pPr>
        <w:pStyle w:val="11"/>
        <w:spacing w:line="360" w:lineRule="auto"/>
        <w:ind w:firstLine="480"/>
        <w:jc w:val="both"/>
        <w:rPr>
          <w:color w:val="auto"/>
          <w:sz w:val="24"/>
          <w:szCs w:val="24"/>
          <w:highlight w:val="none"/>
        </w:rPr>
      </w:pPr>
      <w:r>
        <w:rPr>
          <w:rFonts w:ascii="仿宋_GB2312" w:hAnsi="仿宋_GB2312" w:eastAsia="仿宋_GB2312" w:cs="仿宋_GB2312"/>
          <w:color w:val="auto"/>
          <w:sz w:val="24"/>
          <w:szCs w:val="24"/>
          <w:highlight w:val="none"/>
        </w:rPr>
        <w:t>3、合格投标人</w:t>
      </w:r>
    </w:p>
    <w:p w14:paraId="0DA5EA51">
      <w:pPr>
        <w:pStyle w:val="11"/>
        <w:spacing w:line="360" w:lineRule="auto"/>
        <w:ind w:firstLine="480"/>
        <w:jc w:val="both"/>
        <w:rPr>
          <w:color w:val="auto"/>
          <w:sz w:val="24"/>
          <w:szCs w:val="24"/>
          <w:highlight w:val="none"/>
        </w:rPr>
      </w:pPr>
      <w:r>
        <w:rPr>
          <w:rFonts w:ascii="仿宋_GB2312" w:hAnsi="仿宋_GB2312" w:eastAsia="仿宋_GB2312" w:cs="仿宋_GB2312"/>
          <w:color w:val="auto"/>
          <w:sz w:val="24"/>
          <w:szCs w:val="24"/>
          <w:highlight w:val="none"/>
        </w:rPr>
        <w:t>3.1一般规定</w:t>
      </w:r>
    </w:p>
    <w:p w14:paraId="0518115B">
      <w:pPr>
        <w:pStyle w:val="11"/>
        <w:spacing w:line="360" w:lineRule="auto"/>
        <w:ind w:firstLine="480"/>
        <w:jc w:val="both"/>
        <w:rPr>
          <w:color w:val="auto"/>
          <w:sz w:val="24"/>
          <w:szCs w:val="24"/>
          <w:highlight w:val="none"/>
        </w:rPr>
      </w:pPr>
      <w:r>
        <w:rPr>
          <w:rFonts w:ascii="仿宋_GB2312" w:hAnsi="仿宋_GB2312" w:eastAsia="仿宋_GB2312" w:cs="仿宋_GB2312"/>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709458BC">
      <w:pPr>
        <w:pStyle w:val="11"/>
        <w:spacing w:line="360" w:lineRule="auto"/>
        <w:ind w:firstLine="480"/>
        <w:jc w:val="left"/>
        <w:rPr>
          <w:color w:val="auto"/>
          <w:sz w:val="24"/>
          <w:szCs w:val="24"/>
          <w:highlight w:val="none"/>
        </w:rPr>
      </w:pPr>
      <w:r>
        <w:rPr>
          <w:rFonts w:ascii="仿宋_GB2312" w:hAnsi="仿宋_GB2312" w:eastAsia="仿宋_GB2312" w:cs="仿宋_GB2312"/>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84128CA">
      <w:pPr>
        <w:pStyle w:val="11"/>
        <w:spacing w:line="360" w:lineRule="auto"/>
        <w:ind w:firstLine="480"/>
        <w:jc w:val="both"/>
        <w:rPr>
          <w:color w:val="auto"/>
          <w:sz w:val="24"/>
          <w:szCs w:val="24"/>
          <w:highlight w:val="none"/>
        </w:rPr>
      </w:pPr>
      <w:r>
        <w:rPr>
          <w:rFonts w:ascii="仿宋_GB2312" w:hAnsi="仿宋_GB2312" w:eastAsia="仿宋_GB2312" w:cs="仿宋_GB2312"/>
          <w:color w:val="auto"/>
          <w:sz w:val="24"/>
          <w:szCs w:val="24"/>
          <w:highlight w:val="none"/>
        </w:rPr>
        <w:t>（2）投标人的资格要求：详见招标文件第一章。</w:t>
      </w:r>
    </w:p>
    <w:p w14:paraId="3B9F9457">
      <w:pPr>
        <w:pStyle w:val="11"/>
        <w:spacing w:line="360" w:lineRule="auto"/>
        <w:ind w:firstLine="480"/>
        <w:jc w:val="both"/>
        <w:rPr>
          <w:color w:val="auto"/>
          <w:sz w:val="24"/>
          <w:szCs w:val="24"/>
          <w:highlight w:val="none"/>
        </w:rPr>
      </w:pPr>
      <w:r>
        <w:rPr>
          <w:rFonts w:ascii="仿宋_GB2312" w:hAnsi="仿宋_GB2312" w:eastAsia="仿宋_GB2312" w:cs="仿宋_GB2312"/>
          <w:color w:val="auto"/>
          <w:sz w:val="24"/>
          <w:szCs w:val="24"/>
          <w:highlight w:val="none"/>
        </w:rPr>
        <w:t>3.2若本项目接受联合体投标且投标人为联合体，则联合体各方应遵守本章第3.1条规定，同时还应遵守下列规定：</w:t>
      </w:r>
    </w:p>
    <w:p w14:paraId="512E2A9C">
      <w:pPr>
        <w:pStyle w:val="11"/>
        <w:spacing w:line="360" w:lineRule="auto"/>
        <w:ind w:firstLine="480"/>
        <w:jc w:val="both"/>
        <w:rPr>
          <w:color w:val="auto"/>
          <w:sz w:val="24"/>
          <w:szCs w:val="24"/>
          <w:highlight w:val="none"/>
        </w:rPr>
      </w:pPr>
      <w:r>
        <w:rPr>
          <w:rFonts w:ascii="仿宋_GB2312" w:hAnsi="仿宋_GB2312" w:eastAsia="仿宋_GB2312" w:cs="仿宋_GB2312"/>
          <w:color w:val="auto"/>
          <w:sz w:val="24"/>
          <w:szCs w:val="24"/>
          <w:highlight w:val="none"/>
        </w:rPr>
        <w:t>（1）联合体各方应提交联合体协议，联合体协议应符合招标文件规定。</w:t>
      </w:r>
    </w:p>
    <w:p w14:paraId="43ADF7B6">
      <w:pPr>
        <w:pStyle w:val="11"/>
        <w:spacing w:line="360" w:lineRule="auto"/>
        <w:ind w:firstLine="480"/>
        <w:jc w:val="both"/>
        <w:rPr>
          <w:color w:val="auto"/>
          <w:sz w:val="24"/>
          <w:szCs w:val="24"/>
          <w:highlight w:val="none"/>
        </w:rPr>
      </w:pPr>
      <w:r>
        <w:rPr>
          <w:rFonts w:ascii="仿宋_GB2312" w:hAnsi="仿宋_GB2312" w:eastAsia="仿宋_GB2312" w:cs="仿宋_GB2312"/>
          <w:color w:val="auto"/>
          <w:sz w:val="24"/>
          <w:szCs w:val="24"/>
          <w:highlight w:val="none"/>
        </w:rPr>
        <w:t>（2）联合体各方不得再单独参加或与其他供应商另外组成联合体参加同一合同项下的投标。</w:t>
      </w:r>
    </w:p>
    <w:p w14:paraId="7446B3C5">
      <w:pPr>
        <w:pStyle w:val="11"/>
        <w:spacing w:line="360" w:lineRule="auto"/>
        <w:ind w:firstLine="480"/>
        <w:jc w:val="both"/>
        <w:rPr>
          <w:color w:val="auto"/>
          <w:sz w:val="24"/>
          <w:szCs w:val="24"/>
          <w:highlight w:val="none"/>
        </w:rPr>
      </w:pPr>
      <w:r>
        <w:rPr>
          <w:rFonts w:ascii="仿宋_GB2312" w:hAnsi="仿宋_GB2312" w:eastAsia="仿宋_GB2312" w:cs="仿宋_GB2312"/>
          <w:color w:val="auto"/>
          <w:sz w:val="24"/>
          <w:szCs w:val="24"/>
          <w:highlight w:val="none"/>
        </w:rPr>
        <w:t>（3）联合体各方应共同与采购人签订政府采购合同，就政府采购合同约定的事项对采购人承担连带责任。</w:t>
      </w:r>
    </w:p>
    <w:p w14:paraId="7877E79A">
      <w:pPr>
        <w:pStyle w:val="11"/>
        <w:spacing w:line="360" w:lineRule="auto"/>
        <w:ind w:firstLine="480"/>
        <w:jc w:val="both"/>
        <w:rPr>
          <w:color w:val="auto"/>
          <w:sz w:val="24"/>
          <w:szCs w:val="24"/>
          <w:highlight w:val="none"/>
        </w:rPr>
      </w:pPr>
      <w:r>
        <w:rPr>
          <w:rFonts w:ascii="仿宋_GB2312" w:hAnsi="仿宋_GB2312" w:eastAsia="仿宋_GB2312" w:cs="仿宋_GB2312"/>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C24260E">
      <w:pPr>
        <w:pStyle w:val="11"/>
        <w:spacing w:line="360" w:lineRule="auto"/>
        <w:ind w:firstLine="480"/>
        <w:jc w:val="both"/>
        <w:rPr>
          <w:color w:val="auto"/>
          <w:sz w:val="24"/>
          <w:szCs w:val="24"/>
          <w:highlight w:val="none"/>
        </w:rPr>
      </w:pPr>
      <w:r>
        <w:rPr>
          <w:rFonts w:ascii="仿宋_GB2312" w:hAnsi="仿宋_GB2312" w:eastAsia="仿宋_GB2312" w:cs="仿宋_GB2312"/>
          <w:color w:val="auto"/>
          <w:sz w:val="24"/>
          <w:szCs w:val="24"/>
          <w:highlight w:val="none"/>
        </w:rPr>
        <w:t>（5）联合体一方放弃中标的，视为联合体整体放弃中标，联合体各方承担连带责任。</w:t>
      </w:r>
    </w:p>
    <w:p w14:paraId="4110640F">
      <w:pPr>
        <w:pStyle w:val="11"/>
        <w:spacing w:line="360" w:lineRule="auto"/>
        <w:ind w:firstLine="480"/>
        <w:jc w:val="both"/>
        <w:rPr>
          <w:color w:val="auto"/>
          <w:sz w:val="24"/>
          <w:szCs w:val="24"/>
          <w:highlight w:val="none"/>
        </w:rPr>
      </w:pPr>
      <w:r>
        <w:rPr>
          <w:rFonts w:ascii="仿宋_GB2312" w:hAnsi="仿宋_GB2312" w:eastAsia="仿宋_GB2312" w:cs="仿宋_GB2312"/>
          <w:color w:val="auto"/>
          <w:sz w:val="24"/>
          <w:szCs w:val="24"/>
          <w:highlight w:val="none"/>
        </w:rPr>
        <w:t>（6）如本项目不接受联合体投标而投标人为联合体的，或者本项目接受联合体投标但投标人组成的联合体不符合本章第3.2条规定的，投标无效。</w:t>
      </w:r>
    </w:p>
    <w:p w14:paraId="2A1A52D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4、投标费用</w:t>
      </w:r>
    </w:p>
    <w:p w14:paraId="4FDA460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4.1除招标文件另有规定外，投标人应自行承担其参加本项目投标所涉及的一切费用。</w:t>
      </w:r>
    </w:p>
    <w:p w14:paraId="384DE8F2">
      <w:pPr>
        <w:pStyle w:val="11"/>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三、招标</w:t>
      </w:r>
    </w:p>
    <w:p w14:paraId="662E9EE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5、招标文件</w:t>
      </w:r>
    </w:p>
    <w:p w14:paraId="2474C24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5.1招标文件由下述部分组成：</w:t>
      </w:r>
    </w:p>
    <w:p w14:paraId="4C70309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（1）投标邀请</w:t>
      </w:r>
    </w:p>
    <w:p w14:paraId="196BAC7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（2）投标人须知前附表（表1、2）</w:t>
      </w:r>
    </w:p>
    <w:p w14:paraId="4519724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（3）投标人须知</w:t>
      </w:r>
    </w:p>
    <w:p w14:paraId="12547FF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（4）资格审查与评标</w:t>
      </w:r>
    </w:p>
    <w:p w14:paraId="3462324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（5）招标内容及要求</w:t>
      </w:r>
    </w:p>
    <w:p w14:paraId="0E3CB7D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（6）政府采购合同（参考文本）</w:t>
      </w:r>
    </w:p>
    <w:p w14:paraId="26E130F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（7）电子投标文件格式</w:t>
      </w:r>
    </w:p>
    <w:p w14:paraId="031FF93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（8）按照招标文件规定作为招标文件组成部分的其他内容（若有）</w:t>
      </w:r>
    </w:p>
    <w:p w14:paraId="5FFED82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5.2招标文件的澄清或修改</w:t>
      </w:r>
    </w:p>
    <w:p w14:paraId="0E0EA19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（1）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可对已发出的招标文件进行必要的澄清或修改，但不得对招标文件载明的采购标的和投标人的资格要求进行改变。</w:t>
      </w:r>
    </w:p>
    <w:p w14:paraId="764FD9B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（2）除本章第5.2条第（3）款规定情形外，澄清或修改的内容可能影响电子投标文件编制的，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将在投标截止时间至少15个日历日前，在招标文件载明的指定媒体以更正公告的形式发布澄清或修改的内容。不足15个日历日的，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将顺延投标截止时间及开标时间，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和投标人受原投标截止时间及开标时间制约的所有权利和义务均延长至新的投标截止时间及开标时间。</w:t>
      </w:r>
    </w:p>
    <w:p w14:paraId="222790E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（3）澄清或修改的内容可能改变招标文件载明的采购标的和投标人的资格要求的，本次采购活动结束，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将依法组织后续采购活动（包括但不限于：重新招标、采用其他方式采购等）。</w:t>
      </w:r>
    </w:p>
    <w:p w14:paraId="2070905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6、现场考察或开标前答疑会</w:t>
      </w:r>
    </w:p>
    <w:p w14:paraId="5FE2133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6.1是否组织现场考察或召开开标前答疑会：详见招标文件第二章。</w:t>
      </w:r>
    </w:p>
    <w:p w14:paraId="44763EB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7、更正公告</w:t>
      </w:r>
    </w:p>
    <w:p w14:paraId="1BB793C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7.1若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241FF1A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7.2更正公告作为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通知所有潜在投标人的书面形式。</w:t>
      </w:r>
    </w:p>
    <w:p w14:paraId="76599FF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8、终止公告</w:t>
      </w:r>
    </w:p>
    <w:p w14:paraId="249D481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8.1若出现因重大变故导致采购任务取消情形，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可终止招标并发布终止公告。</w:t>
      </w:r>
    </w:p>
    <w:p w14:paraId="73DFB29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8.2终止公告作为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通知所有潜在投标人的书面形式。</w:t>
      </w:r>
    </w:p>
    <w:p w14:paraId="25F10532">
      <w:pPr>
        <w:pStyle w:val="11"/>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四、投标</w:t>
      </w:r>
    </w:p>
    <w:p w14:paraId="69E39B1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9、投标</w:t>
      </w:r>
    </w:p>
    <w:p w14:paraId="150B5D0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9.1投标人可对招标文件载明的全部或部分采购包进行投标。</w:t>
      </w:r>
    </w:p>
    <w:p w14:paraId="11D6FA1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9.2投标人应对同一个采购包内的所有内容进行完整投标，否则投标无效。</w:t>
      </w:r>
    </w:p>
    <w:p w14:paraId="5000073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9.3投标人代表只能接受一个投标人的授权参加投标，否则投标无效。</w:t>
      </w:r>
    </w:p>
    <w:p w14:paraId="1D44D37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9.4单位负责人为同一人或存在直接控股、管理关系的不同供应商，不得同时参加同一合同项下的投标，否则投标无效。</w:t>
      </w:r>
    </w:p>
    <w:p w14:paraId="62AF16B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67B6D0E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72B0DA9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9.7有下列情形之一的，视为投标人串通投标，其投标无效：</w:t>
      </w:r>
    </w:p>
    <w:p w14:paraId="2441C47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（1）不同投标人的电子投标文件由同一单位或个人编制；</w:t>
      </w:r>
    </w:p>
    <w:p w14:paraId="023BC7C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（2）不同投标人委托同一单位或个人办理投标事宜；</w:t>
      </w:r>
    </w:p>
    <w:p w14:paraId="7FD74AE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（3）不同投标人的电子投标文件载明的项目管理成员或联系人员为同一人；</w:t>
      </w:r>
    </w:p>
    <w:p w14:paraId="63016E8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（4）不同投标人的电子投标文件异常一致或投标报价呈规律性差异；</w:t>
      </w:r>
    </w:p>
    <w:p w14:paraId="705BF52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（5）不同投标人的电子投标文件相互混装；</w:t>
      </w:r>
    </w:p>
    <w:p w14:paraId="3E4340B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（6）不同投标人的投标保证金从同一单位或个人的账户转出；</w:t>
      </w:r>
    </w:p>
    <w:p w14:paraId="4E1BD5A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（7）有关法律、法规和规章及招标文件规定的其他串通投标情形。</w:t>
      </w:r>
    </w:p>
    <w:p w14:paraId="47007F0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10、电子投标文件</w:t>
      </w:r>
    </w:p>
    <w:p w14:paraId="2D09469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10.1电子投标文件的编制</w:t>
      </w:r>
    </w:p>
    <w:p w14:paraId="3FC8902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（1）投标人应先仔细阅读招标文件的全部内容后，再进行电子投标文件的编制。</w:t>
      </w:r>
    </w:p>
    <w:p w14:paraId="0B47A86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（2）电子投标文件应按照本章第10.2条规定编制其组成部分。</w:t>
      </w:r>
    </w:p>
    <w:p w14:paraId="35A770E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234A588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10.2电子投标文件由下述部分组成：</w:t>
      </w:r>
    </w:p>
    <w:p w14:paraId="2DD5F1E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（1）资格及资信证明部分</w:t>
      </w:r>
    </w:p>
    <w:p w14:paraId="38810D5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①投标函</w:t>
      </w:r>
    </w:p>
    <w:p w14:paraId="3981CC6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②投标人的资格及资信证明文件</w:t>
      </w:r>
    </w:p>
    <w:p w14:paraId="7717B03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③投标保证金</w:t>
      </w:r>
    </w:p>
    <w:p w14:paraId="303F1C0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（2）报价部分</w:t>
      </w:r>
    </w:p>
    <w:p w14:paraId="39AE595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①开标（报价）一览表</w:t>
      </w:r>
    </w:p>
    <w:p w14:paraId="0D3884E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②投标（响应）报价明细表</w:t>
      </w:r>
    </w:p>
    <w:p w14:paraId="6A518F7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③招标文件规定的价格扣除证明材料（若有）</w:t>
      </w:r>
    </w:p>
    <w:p w14:paraId="559BE03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④招标文件规定的加分证明材料（若有）</w:t>
      </w:r>
    </w:p>
    <w:p w14:paraId="12F1874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（3）技术商务部分</w:t>
      </w:r>
    </w:p>
    <w:p w14:paraId="2722310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①标的说明一览表</w:t>
      </w:r>
    </w:p>
    <w:p w14:paraId="2ABDE88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②技术和服务要求响应表</w:t>
      </w:r>
    </w:p>
    <w:p w14:paraId="2202404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③商务条件响应表</w:t>
      </w:r>
    </w:p>
    <w:p w14:paraId="00BE290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④投标人提交的其他资料（若有）</w:t>
      </w:r>
    </w:p>
    <w:p w14:paraId="55BB4D6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⑤招标文件规定作为电子投标文件组成部分的其他内容（若有）</w:t>
      </w:r>
    </w:p>
    <w:p w14:paraId="72C58DD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10.3电子投标文件的语言</w:t>
      </w:r>
    </w:p>
    <w:p w14:paraId="6B7B552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（1）除招标文件另有规定外，电子投标文件应使用中文文本，若有不同文本，以中文文本为准。</w:t>
      </w:r>
    </w:p>
    <w:p w14:paraId="58FC534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FFF448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10.4投标文件的份数：详见招标文件第二章。</w:t>
      </w:r>
    </w:p>
    <w:p w14:paraId="0E4AF1C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10.5电子投标文件的格式</w:t>
      </w:r>
    </w:p>
    <w:p w14:paraId="5D5547E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（1）除招标文件另有规定外，电子投标文件应使用招标文件第七章规定的格式。</w:t>
      </w:r>
    </w:p>
    <w:p w14:paraId="6EBD73B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（2）除招标文件另有规定外，电子投标文件应使用不能擦去的墨料或墨水打印、书写或复印。</w:t>
      </w:r>
    </w:p>
    <w:p w14:paraId="390BE40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（3）除招标文件另有规定外，电子投标文件应使用人民币作为计量货币。</w:t>
      </w:r>
    </w:p>
    <w:p w14:paraId="7AE5E3B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（4）除招标文件另有规定外，签署、盖章应遵守下列规定：</w:t>
      </w:r>
    </w:p>
    <w:p w14:paraId="3FA1726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①电子投标文件应加盖投标人的单位公章。若投标人代表为单位授权的委托代理人，应提供“单位授权书”。</w:t>
      </w:r>
    </w:p>
    <w:p w14:paraId="4EDEE36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②电子投标文件应没有涂改或行间插字，除非这些改动是根据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的指示进行的，或是为改正投标人造成的应修改的错误而进行的。若有前述改动，应按照下列规定之一对改动处进行处理：</w:t>
      </w:r>
    </w:p>
    <w:p w14:paraId="0B81BB9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a.投标人代表签字确认；</w:t>
      </w:r>
    </w:p>
    <w:p w14:paraId="41AE623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b.加盖投标人的单位公章或校正章。</w:t>
      </w:r>
    </w:p>
    <w:p w14:paraId="69D9BAF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10.6投标报价</w:t>
      </w:r>
    </w:p>
    <w:p w14:paraId="3568B11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（1）投标报价超出最高限价将导致投标无效。</w:t>
      </w:r>
    </w:p>
    <w:p w14:paraId="0D26BF1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（2）最高限价由采购人根据价格测算情况，在预算金额的额度内合理设定。最高限价不得超出预算金额。</w:t>
      </w:r>
    </w:p>
    <w:p w14:paraId="5C27F4B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19B6F24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10.7分包</w:t>
      </w:r>
    </w:p>
    <w:p w14:paraId="09A5AD1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（1）是否允许中标人将本项目的非主体、非关键性工作进行分包：详见招标文件第二章。</w:t>
      </w:r>
    </w:p>
    <w:p w14:paraId="667D3E4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04AD4A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（3）招标文件允许中标人将非主体、非关键性工作进行分包的项目，有下列情形之一的，中标人不得分包：</w:t>
      </w:r>
    </w:p>
    <w:p w14:paraId="78F3A53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①电子投标文件中未载明分包承担主体；</w:t>
      </w:r>
    </w:p>
    <w:p w14:paraId="1CCDA50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②电子投标文件载明的分包承担主体不具备相应资质条件；</w:t>
      </w:r>
    </w:p>
    <w:p w14:paraId="7F4F9FF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③电子投标文件载明的分包承担主体拟再次分包；</w:t>
      </w:r>
    </w:p>
    <w:p w14:paraId="7637E6C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④享受中小企业扶持政策获得政府采购合同的，小微企业不得将合同分包给大中型企业，中型企业不得将合同分包给大型企业。</w:t>
      </w:r>
    </w:p>
    <w:p w14:paraId="7182F2B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10.8投标有效期</w:t>
      </w:r>
    </w:p>
    <w:p w14:paraId="76B797F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（1）招标文件载明的投标有效期：详见招标文件第二章。</w:t>
      </w:r>
    </w:p>
    <w:p w14:paraId="35344C8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（2）电子投标文件承诺的投标有效期不得少于招标文件载明的投标有效期，否则投标无效。</w:t>
      </w:r>
    </w:p>
    <w:p w14:paraId="28EB7A4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（3）根据本次采购活动的需要，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可于投标有效期届满之前书面要求投标人延长投标有效期，投标人应在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854B4E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10.9投标保证金</w:t>
      </w:r>
    </w:p>
    <w:p w14:paraId="51F0953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（1）投标保证金作为投标人按照招标文件规定履行相应投标责任、义务的约束及担保。</w:t>
      </w:r>
    </w:p>
    <w:p w14:paraId="4C014FF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（2）投标人以电子保函形式提交投标保证金的，保函的有效期应等于或长于电子投标文件承诺的投标有效期，否则投标无效。</w:t>
      </w:r>
    </w:p>
    <w:p w14:paraId="3DAF3CD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（3）提交</w:t>
      </w:r>
    </w:p>
    <w:p w14:paraId="005A3F7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76C43D7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9A8202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③其他形式：</w:t>
      </w:r>
    </w:p>
    <w:p w14:paraId="1B0AAD3E">
      <w:pPr>
        <w:pStyle w:val="11"/>
        <w:jc w:val="left"/>
        <w:rPr>
          <w:color w:val="auto"/>
          <w:sz w:val="24"/>
          <w:szCs w:val="24"/>
          <w:highlight w:val="none"/>
        </w:rPr>
      </w:pPr>
      <w:r>
        <w:rPr>
          <w:rFonts w:ascii="仿宋_GB2312" w:hAnsi="仿宋_GB2312" w:eastAsia="仿宋_GB2312" w:cs="仿宋_GB2312"/>
          <w:color w:val="auto"/>
          <w:sz w:val="24"/>
          <w:szCs w:val="24"/>
          <w:highlight w:val="none"/>
        </w:rPr>
        <w:t>无</w:t>
      </w:r>
    </w:p>
    <w:p w14:paraId="2741A31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④若本项目接受联合体投标且投标人为联合体，则联合体中的牵头方应按照本章第10.9条第（3）款第①、②、③点规定提交投标保证金。</w:t>
      </w:r>
    </w:p>
    <w:p w14:paraId="65DFF7E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※除招标文件另有规定外，未按照上述规定提交投标保证金将导致资格审查不合格。</w:t>
      </w:r>
    </w:p>
    <w:p w14:paraId="6ED2202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（4）退还</w:t>
      </w:r>
    </w:p>
    <w:p w14:paraId="2128A90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①在投标截止时间前撤回已提交的电子投标文件的投标人，其投标保证金将在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收到投标人书面撤回通知之日起5个工作日内退回原账户。</w:t>
      </w:r>
    </w:p>
    <w:p w14:paraId="60A6582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②未中标人的投标保证金将在中标通知书发出之日起5个工作日内退回原账户。</w:t>
      </w:r>
    </w:p>
    <w:p w14:paraId="5749D44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③中标人的投标保证金将在政府采购合同签订之日起5个工作日内退回原账户；合同签订之日以福建省政府采购网上公开信息系统记载的为准。</w:t>
      </w:r>
    </w:p>
    <w:p w14:paraId="54CCF4E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④终止招标的，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将在终止公告发布之日起5个工作日内退回已收取的投标保证金及其在银行产生的孳息。</w:t>
      </w:r>
    </w:p>
    <w:p w14:paraId="6FFA827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⑤除招标文件另有规定外，质疑或投诉涉及的投标人，若投标保证金尚未退还，则待质疑或投诉处理完毕后不计利息原额退还。</w:t>
      </w:r>
    </w:p>
    <w:p w14:paraId="3AA2DBE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※本章第10.9条第（4）款第①、②、③点规定的投标保证金退还时限不包括因投标人自身原因导致无法及时退还而增加的时间。</w:t>
      </w:r>
    </w:p>
    <w:p w14:paraId="7CC2919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2A6942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（6）有下列情形之一的，投标保证金将不予退还或通过投标保函进行索赔：</w:t>
      </w:r>
    </w:p>
    <w:p w14:paraId="56F5D69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①投标人串通投标；</w:t>
      </w:r>
    </w:p>
    <w:p w14:paraId="296976F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②投标人提供虚假材料；</w:t>
      </w:r>
    </w:p>
    <w:p w14:paraId="42FCDF5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③投标人采取不正当手段诋毁、排挤其他投标人；</w:t>
      </w:r>
    </w:p>
    <w:p w14:paraId="564353F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④投标截止时间后，投标人在投标有效期内撤销电子投标文件；</w:t>
      </w:r>
    </w:p>
    <w:p w14:paraId="29EF375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⑤招标文件规定的其他不予退还情形；</w:t>
      </w:r>
    </w:p>
    <w:p w14:paraId="631C2B8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⑥中标人有下列情形之一的：</w:t>
      </w:r>
    </w:p>
    <w:p w14:paraId="3996000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a.除不可抗力外，因中标人自身原因未在中标通知书要求的期限内与采购人签订政府采购合同；</w:t>
      </w:r>
    </w:p>
    <w:p w14:paraId="30FDEA5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b.未按照招标文件、投标文件的约定签订政府采购合同或提交履约保证金。</w:t>
      </w:r>
    </w:p>
    <w:p w14:paraId="1996B74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※若上述投标保证金不予退还情形给采购人（采购代理机构）造成损失，则投标人还要承担相应的赔偿责任。</w:t>
      </w:r>
    </w:p>
    <w:p w14:paraId="27EC6A9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10.10电子投标文件的提交</w:t>
      </w:r>
    </w:p>
    <w:p w14:paraId="02BF6E8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（1）一个投标人只能提交一个电子投标文件，并按照招标文件第一章规定在系统上完成上传、解密操作。</w:t>
      </w:r>
    </w:p>
    <w:p w14:paraId="7F81AB0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10.11电子投标文件的补充、修改或撤回</w:t>
      </w:r>
    </w:p>
    <w:p w14:paraId="0472E49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（1）投标截止时间前，投标人可对所提交的电子投标文件进行补充、修改或撤回，并书面通知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w:t>
      </w:r>
    </w:p>
    <w:p w14:paraId="58349EA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（2）补充、修改的内容应按照本章第10.5条第（4）款规定进行签署、盖章，并按照本章第10.10条规定提交，否则将被拒收。</w:t>
      </w:r>
    </w:p>
    <w:p w14:paraId="659E486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※按照上述规定提交的补充、修改内容作为电子投标文件组成部分。</w:t>
      </w:r>
    </w:p>
    <w:p w14:paraId="26C5CF6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10.12除招标文件另有规定外，有下列情形之一的，投标无效：</w:t>
      </w:r>
    </w:p>
    <w:p w14:paraId="151F01B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（1）电子投标文件未按照招标文件要求签署、盖章；</w:t>
      </w:r>
    </w:p>
    <w:p w14:paraId="4CE4210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（2）不符合招标文件中规定的资格要求；</w:t>
      </w:r>
    </w:p>
    <w:p w14:paraId="17F734C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（3）投标报价超过招标文件中规定的预算金额或最高限价；</w:t>
      </w:r>
    </w:p>
    <w:p w14:paraId="3FC5A84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（4）电子投标文件含有采购人不能接受的附加条件；</w:t>
      </w:r>
    </w:p>
    <w:p w14:paraId="2A072E3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（5）有关法律、法规和规章及招标文件规定的其他无效情形。</w:t>
      </w:r>
    </w:p>
    <w:p w14:paraId="679A4B0F">
      <w:pPr>
        <w:pStyle w:val="11"/>
        <w:jc w:val="both"/>
        <w:outlineLvl w:val="2"/>
        <w:rPr>
          <w:color w:val="auto"/>
          <w:sz w:val="24"/>
          <w:szCs w:val="24"/>
          <w:highlight w:val="none"/>
        </w:rPr>
      </w:pPr>
      <w:r>
        <w:rPr>
          <w:rFonts w:ascii="仿宋_GB2312" w:hAnsi="仿宋_GB2312" w:eastAsia="仿宋_GB2312" w:cs="仿宋_GB2312"/>
          <w:b/>
          <w:color w:val="auto"/>
          <w:sz w:val="24"/>
          <w:szCs w:val="24"/>
          <w:highlight w:val="none"/>
        </w:rPr>
        <w:t>五、开标</w:t>
      </w:r>
    </w:p>
    <w:p w14:paraId="23B02FE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11、开标</w:t>
      </w:r>
    </w:p>
    <w:p w14:paraId="7A9FB6F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11.1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将在招标文件载明的开标时间及地点主持召开开标会，并邀请投标人参加。</w:t>
      </w:r>
    </w:p>
    <w:p w14:paraId="39F549A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11.2开标会的主持人、唱标人、记录人及其他工作人员（若有）均由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派出，现场监督人员（若有）可由有关方面派出。</w:t>
      </w:r>
    </w:p>
    <w:p w14:paraId="583363C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DD703C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11.4开标会应遵守下列规定：</w:t>
      </w:r>
    </w:p>
    <w:p w14:paraId="5078180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E000D6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EEC8C2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6C82899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08A459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（5）若投标人未到开标现场参加开标会，也未通过远程参加开标会的，视同认可开标结果。</w:t>
      </w:r>
    </w:p>
    <w:p w14:paraId="6B6F863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提出任何疑义或要求（包括质疑）。</w:t>
      </w:r>
    </w:p>
    <w:p w14:paraId="28C2FA0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11.5投标截止时间后，参加投标的投标人不足三家的，不进行开标。同时，本次采购活动结束，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将依法组织后续采购活动（包括但不限于：重新招标、采用其他方式采购等）。</w:t>
      </w:r>
    </w:p>
    <w:p w14:paraId="33D33AA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11.6投标截止时间后撤销投标的处理</w:t>
      </w:r>
    </w:p>
    <w:p w14:paraId="297BAA9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投标截止时间后，投标人在投标有效期内撤销投标的，其撤销投标的行为无效。</w:t>
      </w:r>
    </w:p>
    <w:p w14:paraId="28E83E01">
      <w:pPr>
        <w:pStyle w:val="11"/>
        <w:jc w:val="both"/>
        <w:outlineLvl w:val="2"/>
        <w:rPr>
          <w:color w:val="auto"/>
          <w:sz w:val="24"/>
          <w:szCs w:val="24"/>
          <w:highlight w:val="none"/>
        </w:rPr>
      </w:pPr>
      <w:r>
        <w:rPr>
          <w:rFonts w:ascii="仿宋_GB2312" w:hAnsi="仿宋_GB2312" w:eastAsia="仿宋_GB2312" w:cs="仿宋_GB2312"/>
          <w:b/>
          <w:color w:val="auto"/>
          <w:sz w:val="24"/>
          <w:szCs w:val="24"/>
          <w:highlight w:val="none"/>
        </w:rPr>
        <w:t>六、中标与政府采购合同</w:t>
      </w:r>
    </w:p>
    <w:p w14:paraId="31834BE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12、中标</w:t>
      </w:r>
    </w:p>
    <w:p w14:paraId="0CCFA43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12.1本项目推荐的中标候选人家数：详见招标文件第二章。</w:t>
      </w:r>
    </w:p>
    <w:p w14:paraId="7EA1FEB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12.2本项目中标人的确定：详见招标文件第二章。</w:t>
      </w:r>
    </w:p>
    <w:p w14:paraId="7233486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12.3中标公告</w:t>
      </w:r>
    </w:p>
    <w:p w14:paraId="5F5115A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（1）中标人确定之日起2个工作日内，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将在招标文件载明的指定媒体以中标公告的形式发布中标结果。</w:t>
      </w:r>
    </w:p>
    <w:p w14:paraId="654C279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（2）中标公告的公告期限为1个工作日。</w:t>
      </w:r>
    </w:p>
    <w:p w14:paraId="701D6A6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12.4中标通知书</w:t>
      </w:r>
    </w:p>
    <w:p w14:paraId="2A17FD1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（1）中标公告发布的同时，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将向中标人发出中标通知书。</w:t>
      </w:r>
    </w:p>
    <w:p w14:paraId="09DA4D1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（2）中标通知书发出后，采购人不得违法改变中标结果，中标人无正当理由不得放弃中标。</w:t>
      </w:r>
    </w:p>
    <w:p w14:paraId="18AE64C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13、政府采购合同</w:t>
      </w:r>
    </w:p>
    <w:p w14:paraId="004A916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D34F9D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13.2签订时限：详见须知前附表1的13.2。</w:t>
      </w:r>
    </w:p>
    <w:p w14:paraId="43C0325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13.3政府采购合同的履行、违约责任和解决争议的方法等适用民法典。</w:t>
      </w:r>
    </w:p>
    <w:p w14:paraId="6CEE6E6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13.4采购人与中标人应根据政府采购合同的约定依法履行合同义务。</w:t>
      </w:r>
    </w:p>
    <w:p w14:paraId="544654A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13.5政府采购合同履行过程中，采购人若需追加与合同标的相同的货物或服务，则追加采购金额不得超过原合同采购金额的10%。</w:t>
      </w:r>
    </w:p>
    <w:p w14:paraId="3A704AB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13.6中标人在政府采购合同履行过程中应遵守有关法律、法规和规章的强制性规定（即使前述强制性规定有可能在招标文件中未予列明）。</w:t>
      </w:r>
    </w:p>
    <w:p w14:paraId="29CCBFA2">
      <w:pPr>
        <w:pStyle w:val="11"/>
        <w:jc w:val="both"/>
        <w:outlineLvl w:val="2"/>
        <w:rPr>
          <w:color w:val="auto"/>
          <w:sz w:val="24"/>
          <w:szCs w:val="24"/>
          <w:highlight w:val="none"/>
        </w:rPr>
      </w:pPr>
      <w:r>
        <w:rPr>
          <w:rFonts w:ascii="仿宋_GB2312" w:hAnsi="仿宋_GB2312" w:eastAsia="仿宋_GB2312" w:cs="仿宋_GB2312"/>
          <w:b/>
          <w:color w:val="auto"/>
          <w:sz w:val="24"/>
          <w:szCs w:val="24"/>
          <w:highlight w:val="none"/>
        </w:rPr>
        <w:t>七、询问、质疑与投诉</w:t>
      </w:r>
    </w:p>
    <w:p w14:paraId="5CB43C6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14、询问</w:t>
      </w:r>
    </w:p>
    <w:p w14:paraId="2D5D3FF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14.1潜在投标人或投标人对本次采购活动的有关事项若有疑问，可向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提出询问，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将按照政府采购法及实施条例的有关规定进行答复。</w:t>
      </w:r>
    </w:p>
    <w:p w14:paraId="075CA11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15、质疑</w:t>
      </w:r>
    </w:p>
    <w:p w14:paraId="737F4ED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0ACBBBB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0A9B639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（2）质疑人应按照招标文件第二章规定方式提交质疑函。</w:t>
      </w:r>
    </w:p>
    <w:p w14:paraId="3634708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（3）质疑函应包括下列主要内容：</w:t>
      </w:r>
    </w:p>
    <w:p w14:paraId="000413F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①质疑人的基本信息，至少包括：全称、地址、邮政编码等；</w:t>
      </w:r>
    </w:p>
    <w:p w14:paraId="14A7295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②所质疑项目的基本信息，至少包括：项目编号、项目名称等；</w:t>
      </w:r>
    </w:p>
    <w:p w14:paraId="57012A0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③所质疑的具体事项（以下简称：“质疑事项”）；</w:t>
      </w:r>
    </w:p>
    <w:p w14:paraId="4AB5A57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④针对质疑事项提出的明确请求，前述明确请求指质疑人提出质疑的目的以及希望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对其质疑作出的处理结果，如：暂停招标投标活动、修改招标文件、停止或纠正违法违规行为、中标结果无效、废标、重新招标等；</w:t>
      </w:r>
    </w:p>
    <w:p w14:paraId="7E82397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⑤针对质疑事项导致质疑人自身权益受到损害的必要证明材料，至少包括：</w:t>
      </w:r>
    </w:p>
    <w:p w14:paraId="04D6213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a.质疑人代表的身份证明材料：</w:t>
      </w:r>
    </w:p>
    <w:p w14:paraId="27205A6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1BD30A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a2若本项目接受自然人投标且质疑人为自然人的，提供本人的身份证复印件。</w:t>
      </w:r>
    </w:p>
    <w:p w14:paraId="683B52F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b.其他证明材料（即事实依据和必要的法律依据）包括但不限于下列材料：</w:t>
      </w:r>
    </w:p>
    <w:p w14:paraId="5CB96EA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b1所质疑的具体事项是与自己有利害关系的证明材料；</w:t>
      </w:r>
    </w:p>
    <w:p w14:paraId="78ED481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b2质疑函所述事实存在的证明材料，如：采购文件、采购过程或中标结果违法违规或不符合采购文件要求等证明材料；</w:t>
      </w:r>
    </w:p>
    <w:p w14:paraId="7301513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b3依法应终止采购程序的证明材料；</w:t>
      </w:r>
    </w:p>
    <w:p w14:paraId="570EA74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b4应重新采购的证明材料；</w:t>
      </w:r>
    </w:p>
    <w:p w14:paraId="2D45ECF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b5采购文件、采购过程或中标、成交结果损害自己合法权益的证明材料等；</w:t>
      </w:r>
    </w:p>
    <w:p w14:paraId="4A7CC82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909890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⑥质疑人代表及其联系方法的信息，至少包括：姓名、手机、电子信箱、邮寄地址等。</w:t>
      </w:r>
    </w:p>
    <w:p w14:paraId="0AF01C3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⑦提出质疑的日期。</w:t>
      </w:r>
    </w:p>
    <w:p w14:paraId="7896361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※质疑人为法人或其他组织的，质疑函应由单位负责人或委托代理人签字或盖章，并加盖投标人的单位公章。质疑人为自然人的，质疑函应由本人签字。</w:t>
      </w:r>
    </w:p>
    <w:p w14:paraId="7293A66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15.2对不符合本章第15.1条规定的质疑，将按照下列规定进行处理：</w:t>
      </w:r>
    </w:p>
    <w:p w14:paraId="2A31285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（1）不符合其中第（1）、（2）条规定的，书面告知质疑人不予受理及其理由。</w:t>
      </w:r>
    </w:p>
    <w:p w14:paraId="03B4771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（2）不符合其中第（3）条规定的，书面告知质疑人修改、补充后在规定时限内重新提交质疑函。</w:t>
      </w:r>
    </w:p>
    <w:p w14:paraId="554AF73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15.3对符合本章第15.1条规定的质疑，将按照政府采购法及实施条例、政府采购质疑和投诉办法的有关规定进行答复。</w:t>
      </w:r>
    </w:p>
    <w:p w14:paraId="2ECDBB9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15.4招标文件的质疑：详见招标文件第二章。</w:t>
      </w:r>
    </w:p>
    <w:p w14:paraId="027EDBE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16、投诉</w:t>
      </w:r>
    </w:p>
    <w:p w14:paraId="704DE88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5BF2C5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16.2投诉应有明确的请求和必要的证明材料，投诉的事项不得超出已质疑事项的范围。</w:t>
      </w:r>
    </w:p>
    <w:p w14:paraId="4F627565">
      <w:pPr>
        <w:pStyle w:val="11"/>
        <w:jc w:val="both"/>
        <w:outlineLvl w:val="2"/>
        <w:rPr>
          <w:color w:val="auto"/>
          <w:sz w:val="24"/>
          <w:szCs w:val="24"/>
          <w:highlight w:val="none"/>
        </w:rPr>
      </w:pPr>
      <w:r>
        <w:rPr>
          <w:rFonts w:ascii="仿宋_GB2312" w:hAnsi="仿宋_GB2312" w:eastAsia="仿宋_GB2312" w:cs="仿宋_GB2312"/>
          <w:b/>
          <w:color w:val="auto"/>
          <w:sz w:val="24"/>
          <w:szCs w:val="24"/>
          <w:highlight w:val="none"/>
        </w:rPr>
        <w:t>八、政府采购政策</w:t>
      </w:r>
    </w:p>
    <w:p w14:paraId="788C19E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17、政府采购政策由财政部根据国家的经济和社会发展政策并会同国家有关部委制定，包括但不限于下列具体政策要求：</w:t>
      </w:r>
    </w:p>
    <w:p w14:paraId="13A31E7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17.1进口产品与本国产品相关约定</w:t>
      </w:r>
    </w:p>
    <w:p w14:paraId="620D0A2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17.1.1进口产品指通过中国海关报关验放进入中国境内且产自关境外的产品，其中：</w:t>
      </w:r>
    </w:p>
    <w:p w14:paraId="735D283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022D5D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（2）凡在海关特殊监管区域内企业生产或加工（包括从境外进口料件）销往境内其他地区的产品，不作为政府采购项下进口产品。</w:t>
      </w:r>
    </w:p>
    <w:p w14:paraId="5CB8941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（3）对从境外进入海关特殊监管区域，再经办理报关手续后从海关特殊监管区进入境内其他地区的产品，认定为进口产品。</w:t>
      </w:r>
    </w:p>
    <w:p w14:paraId="0CD5A31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（4）招标文件列明不允许或未列明允许进口产品参加投标的，均视为拒绝进口产品参加投标。</w:t>
      </w:r>
    </w:p>
    <w:p w14:paraId="3F78CBB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17.1.2本国产品标准及政策要求</w:t>
      </w:r>
    </w:p>
    <w:p w14:paraId="3A48EFD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1A5E1CF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8297D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（3）对本国产品的支持政策 政府采购活动中既有本国产品又有非本国产品参与竞争的，依法对本国产品给予价格评审优惠，对本国产品的报价给予20%的价格扣除，用扣除后的价格参与评审。</w:t>
      </w:r>
    </w:p>
    <w:p w14:paraId="7E7D1F0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160B46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F17F0A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AD91E9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（1）中小企业指符合下列条件的中型、小型、微型企业：</w:t>
      </w:r>
    </w:p>
    <w:p w14:paraId="0933734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460F61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②符合中小企业划分标准的个体工商户，在政府采购活动中视同中小企业。</w:t>
      </w:r>
    </w:p>
    <w:p w14:paraId="7BB2C16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（2）在政府采购活动中，供应商提供的货物、工程或者服务符合下列情形的，享受本办法规定的中小企业扶持政策：</w:t>
      </w:r>
    </w:p>
    <w:p w14:paraId="0CFA56F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①在货物采购项目中，货物由中小企业制造，即货物由中小企业生产且使用该中小企业商号或者注册商标；</w:t>
      </w:r>
    </w:p>
    <w:p w14:paraId="20F4C2D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②在工程采购项目中，工程由中小企业承建，即工程施工单位为中小企业；</w:t>
      </w:r>
    </w:p>
    <w:p w14:paraId="4B2B7FA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③在服务采购项目中，服务由中小企业承接，即提供服务的人员为中小企业依照《中华人民共和国劳动合同法》订立劳动合同的从业人员。</w:t>
      </w:r>
    </w:p>
    <w:p w14:paraId="388AA5D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在货物采购项目中，供应商提供的货物既有中小企业制造货物，也有大型企业制造货物的，不享受本办法规定的中小企业扶持政策。</w:t>
      </w:r>
    </w:p>
    <w:p w14:paraId="6F712FF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以联合体形式参加政府采购活动，联合体各方均为中小企业的，联合体视同中小企业。其中，联合体各方均为小微企业的，联合体视同小微企业。</w:t>
      </w:r>
    </w:p>
    <w:p w14:paraId="13BA1FC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（3）投标人应当按照招标文件明确的采购标的对应行业的划分标准出具中小企业声明函。</w:t>
      </w:r>
    </w:p>
    <w:p w14:paraId="67453C3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51C063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BC726F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①监狱企业参加采购活动时，应提供由省级以上监狱管理局、戒毒管理局（含新疆生产建设兵团）出具的属于监狱企业的证明文件。</w:t>
      </w:r>
    </w:p>
    <w:p w14:paraId="4CE9B41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②监狱企业视同小型、微型企业。</w:t>
      </w:r>
    </w:p>
    <w:p w14:paraId="633B8BD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（5）残疾人福利性单位指同时符合下列条件的单位：</w:t>
      </w:r>
    </w:p>
    <w:p w14:paraId="1FB8626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①安置的残疾人占本单位在职职工人数的比例不低于25%（含25%），并且安置的残疾人人数不少于10人（含10人）；</w:t>
      </w:r>
    </w:p>
    <w:p w14:paraId="1DBF971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②依法与安置的每位残疾人签订了一年以上（含一年）的劳动合同或服务协议；</w:t>
      </w:r>
    </w:p>
    <w:p w14:paraId="5EBD5C8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③为安置的每位残疾人按月足额缴纳了基本养老保险、基本医疗保险、失业保险、工伤保险和生育保险等社会保险费；</w:t>
      </w:r>
    </w:p>
    <w:p w14:paraId="06C9FCD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④通过银行等金融机构向安置的每位残疾人，按月支付了不低于单位所在区县适用的经省级人民政府批准的月最低工资标准的工资；</w:t>
      </w:r>
    </w:p>
    <w:p w14:paraId="37BC971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⑤提供本单位制造的货物、承担的工程或服务，或提供其他残疾人福利性单位制造的货物（不包括使用非残疾人福利性单位注册商标的货物）。</w:t>
      </w:r>
    </w:p>
    <w:p w14:paraId="44CF04D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0F23E7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530049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17.4信用记录指由财政部确定的有关网站提供的相关主体信用信息。信用记录的查询及使用应符合财政部文件（财库[2016]125号）规定。</w:t>
      </w:r>
    </w:p>
    <w:p w14:paraId="53BF109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17.5为落实政府采购政策需满足的要求：详见招标文件第一章。</w:t>
      </w:r>
    </w:p>
    <w:p w14:paraId="496DC701">
      <w:pPr>
        <w:pStyle w:val="11"/>
        <w:jc w:val="both"/>
        <w:outlineLvl w:val="2"/>
        <w:rPr>
          <w:color w:val="auto"/>
          <w:sz w:val="24"/>
          <w:szCs w:val="24"/>
          <w:highlight w:val="none"/>
        </w:rPr>
      </w:pPr>
      <w:r>
        <w:rPr>
          <w:rFonts w:ascii="仿宋_GB2312" w:hAnsi="仿宋_GB2312" w:eastAsia="仿宋_GB2312" w:cs="仿宋_GB2312"/>
          <w:b/>
          <w:color w:val="auto"/>
          <w:sz w:val="24"/>
          <w:szCs w:val="24"/>
          <w:highlight w:val="none"/>
        </w:rPr>
        <w:t>九、本项目的有关信息</w:t>
      </w:r>
    </w:p>
    <w:p w14:paraId="0C7AE32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5B1EF11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18.1指定媒体：详见招标文件第二章。</w:t>
      </w:r>
    </w:p>
    <w:p w14:paraId="7C305F8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18.2本项目的潜在投标人或投标人应随时关注指定媒体，否则产生不利后果由其自行承担。</w:t>
      </w:r>
    </w:p>
    <w:p w14:paraId="40B23946">
      <w:pPr>
        <w:pStyle w:val="11"/>
        <w:jc w:val="both"/>
        <w:outlineLvl w:val="2"/>
        <w:rPr>
          <w:color w:val="auto"/>
          <w:sz w:val="24"/>
          <w:szCs w:val="24"/>
          <w:highlight w:val="none"/>
        </w:rPr>
      </w:pPr>
      <w:r>
        <w:rPr>
          <w:rFonts w:ascii="仿宋_GB2312" w:hAnsi="仿宋_GB2312" w:eastAsia="仿宋_GB2312" w:cs="仿宋_GB2312"/>
          <w:b/>
          <w:color w:val="auto"/>
          <w:sz w:val="24"/>
          <w:szCs w:val="24"/>
          <w:highlight w:val="none"/>
        </w:rPr>
        <w:t>十、其他事项</w:t>
      </w:r>
    </w:p>
    <w:p w14:paraId="77E2883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19、其他事项：</w:t>
      </w:r>
    </w:p>
    <w:p w14:paraId="4034857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714AE7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19.2其他：详见招标文件第二章。</w:t>
      </w:r>
    </w:p>
    <w:p w14:paraId="4AF7C868">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6928402C">
      <w:pPr>
        <w:pStyle w:val="11"/>
        <w:jc w:val="center"/>
        <w:outlineLvl w:val="1"/>
        <w:rPr>
          <w:color w:val="auto"/>
          <w:sz w:val="24"/>
          <w:szCs w:val="24"/>
          <w:highlight w:val="none"/>
        </w:rPr>
      </w:pPr>
      <w:r>
        <w:rPr>
          <w:rFonts w:ascii="仿宋_GB2312" w:hAnsi="仿宋_GB2312" w:eastAsia="仿宋_GB2312" w:cs="仿宋_GB2312"/>
          <w:b/>
          <w:color w:val="auto"/>
          <w:sz w:val="24"/>
          <w:szCs w:val="24"/>
          <w:highlight w:val="none"/>
        </w:rPr>
        <w:t>第四章 资格审查与评标</w:t>
      </w:r>
    </w:p>
    <w:p w14:paraId="2C4F344E">
      <w:pPr>
        <w:pStyle w:val="11"/>
        <w:jc w:val="both"/>
        <w:outlineLvl w:val="2"/>
        <w:rPr>
          <w:color w:val="auto"/>
          <w:sz w:val="24"/>
          <w:szCs w:val="24"/>
          <w:highlight w:val="none"/>
        </w:rPr>
      </w:pPr>
      <w:r>
        <w:rPr>
          <w:rFonts w:ascii="仿宋_GB2312" w:hAnsi="仿宋_GB2312" w:eastAsia="仿宋_GB2312" w:cs="仿宋_GB2312"/>
          <w:b/>
          <w:color w:val="auto"/>
          <w:sz w:val="24"/>
          <w:szCs w:val="24"/>
          <w:highlight w:val="none"/>
        </w:rPr>
        <w:t>一、资格审查</w:t>
      </w:r>
    </w:p>
    <w:p w14:paraId="4704E42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1、开标结束后，由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负责资格审查小组的组建及资格审查工作的组织。</w:t>
      </w:r>
    </w:p>
    <w:p w14:paraId="787A6EA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1.1资格审查小组</w:t>
      </w:r>
    </w:p>
    <w:p w14:paraId="2EA6A14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资格审查小组由3人组成，并负责具体审查事务，其中由采购人派出的采购人代表至少1人，由</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派出的工作人员至少1人，其余1人可为采购人代表或</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的工作人员。</w:t>
      </w:r>
    </w:p>
    <w:p w14:paraId="3958A2B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1.2资格审查的依据是招标文件和电子投标文件。</w:t>
      </w:r>
    </w:p>
    <w:p w14:paraId="6762422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1.3资格审查的范围及内容：电子投标文件（资格及资信证明部分），具体如下：</w:t>
      </w:r>
    </w:p>
    <w:p w14:paraId="72C8043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（1）“投标函”；</w:t>
      </w:r>
    </w:p>
    <w:p w14:paraId="58A281F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（2）“投标人的资格及资信证明文件”</w:t>
      </w:r>
    </w:p>
    <w:p w14:paraId="7AB9605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①一般资格证明文件：</w:t>
      </w:r>
    </w:p>
    <w:p w14:paraId="6604C19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795"/>
        <w:gridCol w:w="5680"/>
      </w:tblGrid>
      <w:tr w14:paraId="08AA1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5F09C5">
            <w:pPr>
              <w:pStyle w:val="11"/>
              <w:jc w:val="both"/>
              <w:rPr>
                <w:color w:val="auto"/>
                <w:sz w:val="24"/>
                <w:szCs w:val="24"/>
                <w:highlight w:val="none"/>
              </w:rPr>
            </w:pPr>
            <w:r>
              <w:rPr>
                <w:rFonts w:ascii="仿宋_GB2312" w:hAnsi="仿宋_GB2312" w:eastAsia="仿宋_GB2312" w:cs="仿宋_GB2312"/>
                <w:color w:val="auto"/>
                <w:sz w:val="24"/>
                <w:szCs w:val="24"/>
                <w:highlight w:val="none"/>
              </w:rPr>
              <w:t xml:space="preserve"> 序号</w:t>
            </w:r>
          </w:p>
        </w:tc>
        <w:tc>
          <w:tcPr>
            <w:tcW w:w="1795" w:type="dxa"/>
          </w:tcPr>
          <w:p w14:paraId="61A83D67">
            <w:pPr>
              <w:pStyle w:val="11"/>
              <w:jc w:val="both"/>
              <w:rPr>
                <w:color w:val="auto"/>
                <w:sz w:val="24"/>
                <w:szCs w:val="24"/>
                <w:highlight w:val="none"/>
              </w:rPr>
            </w:pPr>
            <w:r>
              <w:rPr>
                <w:rFonts w:ascii="仿宋_GB2312" w:hAnsi="仿宋_GB2312" w:eastAsia="仿宋_GB2312" w:cs="仿宋_GB2312"/>
                <w:color w:val="auto"/>
                <w:sz w:val="24"/>
                <w:szCs w:val="24"/>
                <w:highlight w:val="none"/>
              </w:rPr>
              <w:t xml:space="preserve"> 资格审查要求概况</w:t>
            </w:r>
          </w:p>
        </w:tc>
        <w:tc>
          <w:tcPr>
            <w:tcW w:w="5680" w:type="dxa"/>
          </w:tcPr>
          <w:p w14:paraId="0DF6B490">
            <w:pPr>
              <w:pStyle w:val="11"/>
              <w:jc w:val="both"/>
              <w:rPr>
                <w:color w:val="auto"/>
                <w:sz w:val="24"/>
                <w:szCs w:val="24"/>
                <w:highlight w:val="none"/>
              </w:rPr>
            </w:pPr>
            <w:r>
              <w:rPr>
                <w:rFonts w:ascii="仿宋_GB2312" w:hAnsi="仿宋_GB2312" w:eastAsia="仿宋_GB2312" w:cs="仿宋_GB2312"/>
                <w:color w:val="auto"/>
                <w:sz w:val="24"/>
                <w:szCs w:val="24"/>
                <w:highlight w:val="none"/>
              </w:rPr>
              <w:t xml:space="preserve"> 评审点具体描述</w:t>
            </w:r>
          </w:p>
        </w:tc>
      </w:tr>
      <w:tr w14:paraId="1F8CC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36FDE1">
            <w:pPr>
              <w:pStyle w:val="11"/>
              <w:jc w:val="both"/>
              <w:rPr>
                <w:color w:val="auto"/>
                <w:sz w:val="24"/>
                <w:szCs w:val="24"/>
                <w:highlight w:val="none"/>
              </w:rPr>
            </w:pPr>
            <w:r>
              <w:rPr>
                <w:rFonts w:ascii="仿宋_GB2312" w:hAnsi="仿宋_GB2312" w:eastAsia="仿宋_GB2312" w:cs="仿宋_GB2312"/>
                <w:color w:val="auto"/>
                <w:sz w:val="24"/>
                <w:szCs w:val="24"/>
                <w:highlight w:val="none"/>
              </w:rPr>
              <w:t>1</w:t>
            </w:r>
          </w:p>
        </w:tc>
        <w:tc>
          <w:tcPr>
            <w:tcW w:w="1795" w:type="dxa"/>
          </w:tcPr>
          <w:p w14:paraId="2579E2B0">
            <w:pPr>
              <w:pStyle w:val="11"/>
              <w:jc w:val="both"/>
              <w:rPr>
                <w:color w:val="auto"/>
                <w:sz w:val="24"/>
                <w:szCs w:val="24"/>
                <w:highlight w:val="none"/>
              </w:rPr>
            </w:pPr>
            <w:r>
              <w:rPr>
                <w:rFonts w:ascii="仿宋_GB2312" w:hAnsi="仿宋_GB2312" w:eastAsia="仿宋_GB2312" w:cs="仿宋_GB2312"/>
                <w:color w:val="auto"/>
                <w:sz w:val="24"/>
                <w:szCs w:val="24"/>
                <w:highlight w:val="none"/>
              </w:rPr>
              <w:t>单位授权书</w:t>
            </w:r>
          </w:p>
        </w:tc>
        <w:tc>
          <w:tcPr>
            <w:tcW w:w="5680" w:type="dxa"/>
          </w:tcPr>
          <w:p w14:paraId="794176BA">
            <w:pPr>
              <w:pStyle w:val="11"/>
              <w:jc w:val="both"/>
              <w:rPr>
                <w:color w:val="auto"/>
                <w:sz w:val="24"/>
                <w:szCs w:val="24"/>
                <w:highlight w:val="none"/>
              </w:rPr>
            </w:pPr>
            <w:r>
              <w:rPr>
                <w:rFonts w:ascii="仿宋_GB2312" w:hAnsi="仿宋_GB2312" w:eastAsia="仿宋_GB2312" w:cs="仿宋_GB2312"/>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BC62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4A8048">
            <w:pPr>
              <w:pStyle w:val="11"/>
              <w:jc w:val="both"/>
              <w:rPr>
                <w:color w:val="auto"/>
                <w:sz w:val="24"/>
                <w:szCs w:val="24"/>
                <w:highlight w:val="none"/>
              </w:rPr>
            </w:pPr>
            <w:r>
              <w:rPr>
                <w:rFonts w:ascii="仿宋_GB2312" w:hAnsi="仿宋_GB2312" w:eastAsia="仿宋_GB2312" w:cs="仿宋_GB2312"/>
                <w:color w:val="auto"/>
                <w:sz w:val="24"/>
                <w:szCs w:val="24"/>
                <w:highlight w:val="none"/>
              </w:rPr>
              <w:t>2</w:t>
            </w:r>
          </w:p>
        </w:tc>
        <w:tc>
          <w:tcPr>
            <w:tcW w:w="1795" w:type="dxa"/>
          </w:tcPr>
          <w:p w14:paraId="2C4919D1">
            <w:pPr>
              <w:pStyle w:val="11"/>
              <w:jc w:val="both"/>
              <w:rPr>
                <w:color w:val="auto"/>
                <w:sz w:val="24"/>
                <w:szCs w:val="24"/>
                <w:highlight w:val="none"/>
              </w:rPr>
            </w:pPr>
            <w:r>
              <w:rPr>
                <w:rFonts w:ascii="仿宋_GB2312" w:hAnsi="仿宋_GB2312" w:eastAsia="仿宋_GB2312" w:cs="仿宋_GB2312"/>
                <w:color w:val="auto"/>
                <w:sz w:val="24"/>
                <w:szCs w:val="24"/>
                <w:highlight w:val="none"/>
              </w:rPr>
              <w:t>营业执照等证明文件</w:t>
            </w:r>
          </w:p>
        </w:tc>
        <w:tc>
          <w:tcPr>
            <w:tcW w:w="5680" w:type="dxa"/>
          </w:tcPr>
          <w:p w14:paraId="1EFF2C89">
            <w:pPr>
              <w:pStyle w:val="11"/>
              <w:jc w:val="both"/>
              <w:rPr>
                <w:color w:val="auto"/>
                <w:sz w:val="24"/>
                <w:szCs w:val="24"/>
                <w:highlight w:val="none"/>
              </w:rPr>
            </w:pPr>
            <w:r>
              <w:rPr>
                <w:rFonts w:ascii="仿宋_GB2312" w:hAnsi="仿宋_GB2312" w:eastAsia="仿宋_GB2312" w:cs="仿宋_GB2312"/>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E068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118756">
            <w:pPr>
              <w:pStyle w:val="11"/>
              <w:jc w:val="both"/>
              <w:rPr>
                <w:color w:val="auto"/>
                <w:sz w:val="24"/>
                <w:szCs w:val="24"/>
                <w:highlight w:val="none"/>
              </w:rPr>
            </w:pPr>
            <w:r>
              <w:rPr>
                <w:rFonts w:ascii="仿宋_GB2312" w:hAnsi="仿宋_GB2312" w:eastAsia="仿宋_GB2312" w:cs="仿宋_GB2312"/>
                <w:color w:val="auto"/>
                <w:sz w:val="24"/>
                <w:szCs w:val="24"/>
                <w:highlight w:val="none"/>
              </w:rPr>
              <w:t>3</w:t>
            </w:r>
          </w:p>
        </w:tc>
        <w:tc>
          <w:tcPr>
            <w:tcW w:w="1795" w:type="dxa"/>
          </w:tcPr>
          <w:p w14:paraId="2D12EDA4">
            <w:pPr>
              <w:pStyle w:val="11"/>
              <w:jc w:val="both"/>
              <w:rPr>
                <w:color w:val="auto"/>
                <w:sz w:val="24"/>
                <w:szCs w:val="24"/>
                <w:highlight w:val="none"/>
              </w:rPr>
            </w:pPr>
            <w:r>
              <w:rPr>
                <w:rFonts w:ascii="仿宋_GB2312" w:hAnsi="仿宋_GB2312" w:eastAsia="仿宋_GB2312" w:cs="仿宋_GB2312"/>
                <w:color w:val="auto"/>
                <w:sz w:val="24"/>
                <w:szCs w:val="24"/>
                <w:highlight w:val="none"/>
              </w:rPr>
              <w:t>提供财务状况报告(财务报告、或资信证明）</w:t>
            </w:r>
          </w:p>
        </w:tc>
        <w:tc>
          <w:tcPr>
            <w:tcW w:w="5680" w:type="dxa"/>
          </w:tcPr>
          <w:p w14:paraId="48C104C5">
            <w:pPr>
              <w:pStyle w:val="11"/>
              <w:jc w:val="both"/>
              <w:rPr>
                <w:color w:val="auto"/>
                <w:sz w:val="24"/>
                <w:szCs w:val="24"/>
                <w:highlight w:val="none"/>
              </w:rPr>
            </w:pPr>
            <w:r>
              <w:rPr>
                <w:rFonts w:ascii="仿宋_GB2312" w:hAnsi="仿宋_GB2312" w:eastAsia="仿宋_GB2312" w:cs="仿宋_GB2312"/>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1A42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CF708D">
            <w:pPr>
              <w:pStyle w:val="11"/>
              <w:jc w:val="both"/>
              <w:rPr>
                <w:color w:val="auto"/>
                <w:sz w:val="24"/>
                <w:szCs w:val="24"/>
                <w:highlight w:val="none"/>
              </w:rPr>
            </w:pPr>
            <w:r>
              <w:rPr>
                <w:rFonts w:ascii="仿宋_GB2312" w:hAnsi="仿宋_GB2312" w:eastAsia="仿宋_GB2312" w:cs="仿宋_GB2312"/>
                <w:color w:val="auto"/>
                <w:sz w:val="24"/>
                <w:szCs w:val="24"/>
                <w:highlight w:val="none"/>
              </w:rPr>
              <w:t>4</w:t>
            </w:r>
          </w:p>
        </w:tc>
        <w:tc>
          <w:tcPr>
            <w:tcW w:w="1795" w:type="dxa"/>
          </w:tcPr>
          <w:p w14:paraId="6C2E1540">
            <w:pPr>
              <w:pStyle w:val="11"/>
              <w:jc w:val="both"/>
              <w:rPr>
                <w:color w:val="auto"/>
                <w:sz w:val="24"/>
                <w:szCs w:val="24"/>
                <w:highlight w:val="none"/>
              </w:rPr>
            </w:pPr>
            <w:r>
              <w:rPr>
                <w:rFonts w:ascii="仿宋_GB2312" w:hAnsi="仿宋_GB2312" w:eastAsia="仿宋_GB2312" w:cs="仿宋_GB2312"/>
                <w:color w:val="auto"/>
                <w:sz w:val="24"/>
                <w:szCs w:val="24"/>
                <w:highlight w:val="none"/>
              </w:rPr>
              <w:t>依法缴纳税收证明材料</w:t>
            </w:r>
          </w:p>
        </w:tc>
        <w:tc>
          <w:tcPr>
            <w:tcW w:w="5680" w:type="dxa"/>
          </w:tcPr>
          <w:p w14:paraId="2D15B118">
            <w:pPr>
              <w:pStyle w:val="11"/>
              <w:jc w:val="both"/>
              <w:rPr>
                <w:color w:val="auto"/>
                <w:sz w:val="24"/>
                <w:szCs w:val="24"/>
                <w:highlight w:val="none"/>
              </w:rPr>
            </w:pPr>
            <w:r>
              <w:rPr>
                <w:rFonts w:ascii="仿宋_GB2312" w:hAnsi="仿宋_GB2312" w:eastAsia="仿宋_GB2312" w:cs="仿宋_GB2312"/>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58E8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8DDC3A">
            <w:pPr>
              <w:pStyle w:val="11"/>
              <w:jc w:val="both"/>
              <w:rPr>
                <w:color w:val="auto"/>
                <w:sz w:val="24"/>
                <w:szCs w:val="24"/>
                <w:highlight w:val="none"/>
              </w:rPr>
            </w:pPr>
            <w:r>
              <w:rPr>
                <w:rFonts w:ascii="仿宋_GB2312" w:hAnsi="仿宋_GB2312" w:eastAsia="仿宋_GB2312" w:cs="仿宋_GB2312"/>
                <w:color w:val="auto"/>
                <w:sz w:val="24"/>
                <w:szCs w:val="24"/>
                <w:highlight w:val="none"/>
              </w:rPr>
              <w:t>5</w:t>
            </w:r>
          </w:p>
        </w:tc>
        <w:tc>
          <w:tcPr>
            <w:tcW w:w="1795" w:type="dxa"/>
          </w:tcPr>
          <w:p w14:paraId="247E8D72">
            <w:pPr>
              <w:pStyle w:val="11"/>
              <w:jc w:val="both"/>
              <w:rPr>
                <w:color w:val="auto"/>
                <w:sz w:val="24"/>
                <w:szCs w:val="24"/>
                <w:highlight w:val="none"/>
              </w:rPr>
            </w:pPr>
            <w:r>
              <w:rPr>
                <w:rFonts w:ascii="仿宋_GB2312" w:hAnsi="仿宋_GB2312" w:eastAsia="仿宋_GB2312" w:cs="仿宋_GB2312"/>
                <w:color w:val="auto"/>
                <w:sz w:val="24"/>
                <w:szCs w:val="24"/>
                <w:highlight w:val="none"/>
              </w:rPr>
              <w:t>依法缴纳社会保障资金证明材料</w:t>
            </w:r>
          </w:p>
        </w:tc>
        <w:tc>
          <w:tcPr>
            <w:tcW w:w="5680" w:type="dxa"/>
          </w:tcPr>
          <w:p w14:paraId="0BE40B0F">
            <w:pPr>
              <w:pStyle w:val="11"/>
              <w:jc w:val="both"/>
              <w:rPr>
                <w:color w:val="auto"/>
                <w:sz w:val="24"/>
                <w:szCs w:val="24"/>
                <w:highlight w:val="none"/>
              </w:rPr>
            </w:pPr>
            <w:r>
              <w:rPr>
                <w:rFonts w:ascii="仿宋_GB2312" w:hAnsi="仿宋_GB2312" w:eastAsia="仿宋_GB2312" w:cs="仿宋_GB2312"/>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E985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3703CA">
            <w:pPr>
              <w:pStyle w:val="11"/>
              <w:jc w:val="both"/>
              <w:rPr>
                <w:color w:val="auto"/>
                <w:sz w:val="24"/>
                <w:szCs w:val="24"/>
                <w:highlight w:val="none"/>
              </w:rPr>
            </w:pPr>
            <w:r>
              <w:rPr>
                <w:rFonts w:ascii="仿宋_GB2312" w:hAnsi="仿宋_GB2312" w:eastAsia="仿宋_GB2312" w:cs="仿宋_GB2312"/>
                <w:color w:val="auto"/>
                <w:sz w:val="24"/>
                <w:szCs w:val="24"/>
                <w:highlight w:val="none"/>
              </w:rPr>
              <w:t>6</w:t>
            </w:r>
          </w:p>
        </w:tc>
        <w:tc>
          <w:tcPr>
            <w:tcW w:w="1795" w:type="dxa"/>
          </w:tcPr>
          <w:p w14:paraId="171BC116">
            <w:pPr>
              <w:pStyle w:val="11"/>
              <w:jc w:val="both"/>
              <w:rPr>
                <w:color w:val="auto"/>
                <w:sz w:val="24"/>
                <w:szCs w:val="24"/>
                <w:highlight w:val="none"/>
              </w:rPr>
            </w:pPr>
            <w:r>
              <w:rPr>
                <w:rFonts w:ascii="仿宋_GB2312" w:hAnsi="仿宋_GB2312" w:eastAsia="仿宋_GB2312" w:cs="仿宋_GB2312"/>
                <w:color w:val="auto"/>
                <w:sz w:val="24"/>
                <w:szCs w:val="24"/>
                <w:highlight w:val="none"/>
              </w:rPr>
              <w:t>具备履行合同所必需设备和专业技术能力的声明函(若有)</w:t>
            </w:r>
          </w:p>
        </w:tc>
        <w:tc>
          <w:tcPr>
            <w:tcW w:w="5680" w:type="dxa"/>
          </w:tcPr>
          <w:p w14:paraId="453A45DB">
            <w:pPr>
              <w:pStyle w:val="11"/>
              <w:jc w:val="both"/>
              <w:rPr>
                <w:color w:val="auto"/>
                <w:sz w:val="24"/>
                <w:szCs w:val="24"/>
                <w:highlight w:val="none"/>
              </w:rPr>
            </w:pPr>
            <w:r>
              <w:rPr>
                <w:rFonts w:ascii="仿宋_GB2312" w:hAnsi="仿宋_GB2312" w:eastAsia="仿宋_GB2312" w:cs="仿宋_GB2312"/>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F7D8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2B592D">
            <w:pPr>
              <w:pStyle w:val="11"/>
              <w:jc w:val="both"/>
              <w:rPr>
                <w:color w:val="auto"/>
                <w:sz w:val="24"/>
                <w:szCs w:val="24"/>
                <w:highlight w:val="none"/>
              </w:rPr>
            </w:pPr>
            <w:r>
              <w:rPr>
                <w:rFonts w:ascii="仿宋_GB2312" w:hAnsi="仿宋_GB2312" w:eastAsia="仿宋_GB2312" w:cs="仿宋_GB2312"/>
                <w:color w:val="auto"/>
                <w:sz w:val="24"/>
                <w:szCs w:val="24"/>
                <w:highlight w:val="none"/>
              </w:rPr>
              <w:t>7</w:t>
            </w:r>
          </w:p>
        </w:tc>
        <w:tc>
          <w:tcPr>
            <w:tcW w:w="1795" w:type="dxa"/>
          </w:tcPr>
          <w:p w14:paraId="513D05B3">
            <w:pPr>
              <w:pStyle w:val="11"/>
              <w:jc w:val="both"/>
              <w:rPr>
                <w:color w:val="auto"/>
                <w:sz w:val="24"/>
                <w:szCs w:val="24"/>
                <w:highlight w:val="none"/>
              </w:rPr>
            </w:pPr>
            <w:r>
              <w:rPr>
                <w:rFonts w:ascii="仿宋_GB2312" w:hAnsi="仿宋_GB2312" w:eastAsia="仿宋_GB2312" w:cs="仿宋_GB2312"/>
                <w:color w:val="auto"/>
                <w:sz w:val="24"/>
                <w:szCs w:val="24"/>
                <w:highlight w:val="none"/>
              </w:rPr>
              <w:t>参加采购活动前三年内在经营活动中没有重大违法记录的声明</w:t>
            </w:r>
          </w:p>
        </w:tc>
        <w:tc>
          <w:tcPr>
            <w:tcW w:w="5680" w:type="dxa"/>
          </w:tcPr>
          <w:p w14:paraId="4DEE36B8">
            <w:pPr>
              <w:pStyle w:val="11"/>
              <w:jc w:val="both"/>
              <w:rPr>
                <w:color w:val="auto"/>
                <w:sz w:val="24"/>
                <w:szCs w:val="24"/>
                <w:highlight w:val="none"/>
              </w:rPr>
            </w:pPr>
            <w:r>
              <w:rPr>
                <w:rFonts w:ascii="仿宋_GB2312" w:hAnsi="仿宋_GB2312" w:eastAsia="仿宋_GB2312" w:cs="仿宋_GB2312"/>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DB89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162BDB">
            <w:pPr>
              <w:pStyle w:val="11"/>
              <w:jc w:val="both"/>
              <w:rPr>
                <w:color w:val="auto"/>
                <w:sz w:val="24"/>
                <w:szCs w:val="24"/>
                <w:highlight w:val="none"/>
              </w:rPr>
            </w:pPr>
            <w:r>
              <w:rPr>
                <w:rFonts w:ascii="仿宋_GB2312" w:hAnsi="仿宋_GB2312" w:eastAsia="仿宋_GB2312" w:cs="仿宋_GB2312"/>
                <w:color w:val="auto"/>
                <w:sz w:val="24"/>
                <w:szCs w:val="24"/>
                <w:highlight w:val="none"/>
              </w:rPr>
              <w:t>8</w:t>
            </w:r>
          </w:p>
        </w:tc>
        <w:tc>
          <w:tcPr>
            <w:tcW w:w="1795" w:type="dxa"/>
          </w:tcPr>
          <w:p w14:paraId="44F43705">
            <w:pPr>
              <w:pStyle w:val="11"/>
              <w:jc w:val="both"/>
              <w:rPr>
                <w:color w:val="auto"/>
                <w:sz w:val="24"/>
                <w:szCs w:val="24"/>
                <w:highlight w:val="none"/>
              </w:rPr>
            </w:pPr>
            <w:r>
              <w:rPr>
                <w:rFonts w:ascii="仿宋_GB2312" w:hAnsi="仿宋_GB2312" w:eastAsia="仿宋_GB2312" w:cs="仿宋_GB2312"/>
                <w:color w:val="auto"/>
                <w:sz w:val="24"/>
                <w:szCs w:val="24"/>
                <w:highlight w:val="none"/>
              </w:rPr>
              <w:t>信用记录查询结果</w:t>
            </w:r>
          </w:p>
        </w:tc>
        <w:tc>
          <w:tcPr>
            <w:tcW w:w="5680" w:type="dxa"/>
          </w:tcPr>
          <w:p w14:paraId="535E2431">
            <w:pPr>
              <w:pStyle w:val="11"/>
              <w:jc w:val="both"/>
              <w:rPr>
                <w:color w:val="auto"/>
                <w:sz w:val="24"/>
                <w:szCs w:val="24"/>
                <w:highlight w:val="none"/>
              </w:rPr>
            </w:pPr>
            <w:r>
              <w:rPr>
                <w:rFonts w:ascii="仿宋_GB2312" w:hAnsi="仿宋_GB2312" w:eastAsia="仿宋_GB2312" w:cs="仿宋_GB2312"/>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3963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A30FE3">
            <w:pPr>
              <w:pStyle w:val="11"/>
              <w:jc w:val="both"/>
              <w:rPr>
                <w:color w:val="auto"/>
                <w:sz w:val="24"/>
                <w:szCs w:val="24"/>
                <w:highlight w:val="none"/>
              </w:rPr>
            </w:pPr>
            <w:r>
              <w:rPr>
                <w:rFonts w:ascii="仿宋_GB2312" w:hAnsi="仿宋_GB2312" w:eastAsia="仿宋_GB2312" w:cs="仿宋_GB2312"/>
                <w:color w:val="auto"/>
                <w:sz w:val="24"/>
                <w:szCs w:val="24"/>
                <w:highlight w:val="none"/>
              </w:rPr>
              <w:t>9</w:t>
            </w:r>
          </w:p>
        </w:tc>
        <w:tc>
          <w:tcPr>
            <w:tcW w:w="1795" w:type="dxa"/>
          </w:tcPr>
          <w:p w14:paraId="39C3DE65">
            <w:pPr>
              <w:pStyle w:val="11"/>
              <w:jc w:val="both"/>
              <w:rPr>
                <w:color w:val="auto"/>
                <w:sz w:val="24"/>
                <w:szCs w:val="24"/>
                <w:highlight w:val="none"/>
              </w:rPr>
            </w:pPr>
            <w:r>
              <w:rPr>
                <w:rFonts w:ascii="仿宋_GB2312" w:hAnsi="仿宋_GB2312" w:eastAsia="仿宋_GB2312" w:cs="仿宋_GB2312"/>
                <w:color w:val="auto"/>
                <w:sz w:val="24"/>
                <w:szCs w:val="24"/>
                <w:highlight w:val="none"/>
              </w:rPr>
              <w:t>中小企业声明函（以资格条件落实中小企业扶持政策时适用 ）</w:t>
            </w:r>
          </w:p>
        </w:tc>
        <w:tc>
          <w:tcPr>
            <w:tcW w:w="5680" w:type="dxa"/>
          </w:tcPr>
          <w:p w14:paraId="6E66014D">
            <w:pPr>
              <w:pStyle w:val="11"/>
              <w:jc w:val="both"/>
              <w:rPr>
                <w:color w:val="auto"/>
                <w:sz w:val="24"/>
                <w:szCs w:val="24"/>
                <w:highlight w:val="none"/>
              </w:rPr>
            </w:pPr>
            <w:r>
              <w:rPr>
                <w:rFonts w:ascii="仿宋_GB2312" w:hAnsi="仿宋_GB2312" w:eastAsia="仿宋_GB2312" w:cs="仿宋_GB2312"/>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D660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DF5C13">
            <w:pPr>
              <w:pStyle w:val="11"/>
              <w:jc w:val="both"/>
              <w:rPr>
                <w:color w:val="auto"/>
                <w:sz w:val="24"/>
                <w:szCs w:val="24"/>
                <w:highlight w:val="none"/>
              </w:rPr>
            </w:pPr>
            <w:r>
              <w:rPr>
                <w:rFonts w:ascii="仿宋_GB2312" w:hAnsi="仿宋_GB2312" w:eastAsia="仿宋_GB2312" w:cs="仿宋_GB2312"/>
                <w:color w:val="auto"/>
                <w:sz w:val="24"/>
                <w:szCs w:val="24"/>
                <w:highlight w:val="none"/>
              </w:rPr>
              <w:t>10</w:t>
            </w:r>
          </w:p>
        </w:tc>
        <w:tc>
          <w:tcPr>
            <w:tcW w:w="1795" w:type="dxa"/>
          </w:tcPr>
          <w:p w14:paraId="290A5145">
            <w:pPr>
              <w:pStyle w:val="11"/>
              <w:jc w:val="both"/>
              <w:rPr>
                <w:color w:val="auto"/>
                <w:sz w:val="24"/>
                <w:szCs w:val="24"/>
                <w:highlight w:val="none"/>
              </w:rPr>
            </w:pPr>
            <w:r>
              <w:rPr>
                <w:rFonts w:ascii="仿宋_GB2312" w:hAnsi="仿宋_GB2312" w:eastAsia="仿宋_GB2312" w:cs="仿宋_GB2312"/>
                <w:color w:val="auto"/>
                <w:sz w:val="24"/>
                <w:szCs w:val="24"/>
                <w:highlight w:val="none"/>
              </w:rPr>
              <w:t>联合体协议（若有）</w:t>
            </w:r>
          </w:p>
        </w:tc>
        <w:tc>
          <w:tcPr>
            <w:tcW w:w="5680" w:type="dxa"/>
          </w:tcPr>
          <w:p w14:paraId="5C999E62">
            <w:pPr>
              <w:pStyle w:val="11"/>
              <w:jc w:val="both"/>
              <w:rPr>
                <w:color w:val="auto"/>
                <w:sz w:val="24"/>
                <w:szCs w:val="24"/>
                <w:highlight w:val="none"/>
              </w:rPr>
            </w:pPr>
            <w:r>
              <w:rPr>
                <w:rFonts w:ascii="仿宋_GB2312" w:hAnsi="仿宋_GB2312" w:eastAsia="仿宋_GB2312" w:cs="仿宋_GB2312"/>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426E1C1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※备注说明</w:t>
      </w:r>
    </w:p>
    <w:p w14:paraId="033BEED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①投标人应根据自身实际情况提供上述资格要求的证明材料，格式可参考招标文件第七章提供。</w:t>
      </w:r>
    </w:p>
    <w:p w14:paraId="370F4D9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②投标人提供的相应证明材料复印件均应符合：内容完整、清晰、整洁，并由投标人加盖其单位公章。</w:t>
      </w:r>
    </w:p>
    <w:p w14:paraId="1DC10CF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14:paraId="42A89E9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④.其他资格证明文件：</w:t>
      </w:r>
    </w:p>
    <w:p w14:paraId="777855FB">
      <w:pPr>
        <w:pStyle w:val="11"/>
        <w:jc w:val="left"/>
        <w:rPr>
          <w:color w:val="auto"/>
          <w:sz w:val="24"/>
          <w:szCs w:val="24"/>
          <w:highlight w:val="none"/>
        </w:rPr>
      </w:pPr>
      <w:r>
        <w:rPr>
          <w:rFonts w:ascii="仿宋_GB2312" w:hAnsi="仿宋_GB2312" w:eastAsia="仿宋_GB2312" w:cs="仿宋_GB2312"/>
          <w:color w:val="auto"/>
          <w:sz w:val="24"/>
          <w:szCs w:val="24"/>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21B7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120E3C0">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资格审查要求概况</w:t>
            </w:r>
          </w:p>
        </w:tc>
        <w:tc>
          <w:tcPr>
            <w:tcW w:w="4614" w:type="dxa"/>
          </w:tcPr>
          <w:p w14:paraId="5D86496F">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评审点具体描述</w:t>
            </w:r>
          </w:p>
        </w:tc>
      </w:tr>
      <w:tr w14:paraId="63027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743FBE4">
            <w:pPr>
              <w:pStyle w:val="11"/>
              <w:jc w:val="left"/>
              <w:rPr>
                <w:color w:val="auto"/>
                <w:sz w:val="24"/>
                <w:szCs w:val="24"/>
                <w:highlight w:val="none"/>
              </w:rPr>
            </w:pPr>
            <w:r>
              <w:rPr>
                <w:rFonts w:ascii="仿宋_GB2312" w:hAnsi="仿宋_GB2312" w:eastAsia="仿宋_GB2312" w:cs="仿宋_GB2312"/>
                <w:color w:val="auto"/>
                <w:sz w:val="24"/>
                <w:szCs w:val="24"/>
                <w:highlight w:val="none"/>
              </w:rPr>
              <w:t>资格承诺函</w:t>
            </w:r>
          </w:p>
        </w:tc>
        <w:tc>
          <w:tcPr>
            <w:tcW w:w="4614" w:type="dxa"/>
          </w:tcPr>
          <w:p w14:paraId="15C17998">
            <w:pPr>
              <w:pStyle w:val="11"/>
              <w:jc w:val="left"/>
              <w:rPr>
                <w:color w:val="auto"/>
                <w:sz w:val="24"/>
                <w:szCs w:val="24"/>
                <w:highlight w:val="none"/>
              </w:rPr>
            </w:pPr>
            <w:r>
              <w:rPr>
                <w:rFonts w:ascii="仿宋_GB2312" w:hAnsi="仿宋_GB2312" w:eastAsia="仿宋_GB2312" w:cs="仿宋_GB2312"/>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BB41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F27594F">
            <w:pPr>
              <w:pStyle w:val="11"/>
              <w:jc w:val="left"/>
              <w:rPr>
                <w:color w:val="auto"/>
                <w:sz w:val="24"/>
                <w:szCs w:val="24"/>
                <w:highlight w:val="none"/>
              </w:rPr>
            </w:pPr>
            <w:r>
              <w:rPr>
                <w:rFonts w:ascii="仿宋_GB2312" w:hAnsi="仿宋_GB2312" w:eastAsia="仿宋_GB2312" w:cs="仿宋_GB2312"/>
                <w:color w:val="auto"/>
                <w:sz w:val="24"/>
                <w:szCs w:val="24"/>
                <w:highlight w:val="none"/>
              </w:rPr>
              <w:t>信用记录要求（招标文件其他地方要求与本条款要求不一致的，以本条款要求为准）</w:t>
            </w:r>
          </w:p>
        </w:tc>
        <w:tc>
          <w:tcPr>
            <w:tcW w:w="4614" w:type="dxa"/>
          </w:tcPr>
          <w:p w14:paraId="5EFBD863">
            <w:pPr>
              <w:pStyle w:val="11"/>
              <w:jc w:val="left"/>
              <w:rPr>
                <w:color w:val="auto"/>
                <w:sz w:val="24"/>
                <w:szCs w:val="24"/>
                <w:highlight w:val="none"/>
              </w:rPr>
            </w:pPr>
            <w:r>
              <w:rPr>
                <w:rFonts w:ascii="仿宋_GB2312" w:hAnsi="仿宋_GB2312" w:eastAsia="仿宋_GB2312" w:cs="仿宋_GB2312"/>
                <w:color w:val="auto"/>
                <w:sz w:val="24"/>
                <w:szCs w:val="24"/>
                <w:highlight w:val="none"/>
              </w:rPr>
              <w:t>1、信用信息查询渠道：资格审查小组通过“信用中国”网站（www.creditchina.gov.cn）、中国政府采购网（www.ccgp.gov.cn）、“信用厦门”网站（credit.xm.gov.cn）查询所有供应商的信用信息。 2、截止时点：查询供应商截止开标当天前三年内的信用信息。 3、查询记录和证据留存方式：资格审查小组将查询结果网页打印后随采购文件一并存档。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5、供应商无需提供信用信息查询结果。若供应商自行提供查询结果的，仍以资格审查人员查询结果为准。</w:t>
            </w:r>
          </w:p>
        </w:tc>
      </w:tr>
      <w:tr w14:paraId="72EFE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3AA1573A">
            <w:pPr>
              <w:pStyle w:val="11"/>
              <w:jc w:val="left"/>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本采购包属于专门面向中小企业采购。</w:t>
            </w:r>
          </w:p>
        </w:tc>
        <w:tc>
          <w:tcPr>
            <w:tcW w:w="4614" w:type="dxa"/>
            <w:vAlign w:val="top"/>
          </w:tcPr>
          <w:p w14:paraId="2CCD8B1A">
            <w:pPr>
              <w:pStyle w:val="11"/>
              <w:jc w:val="left"/>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（1）本采购包落实中小企业扶持政策要求的方式：整个采购包专门面向中小企业采购。 （2）投标人需按第五章补充条款要求提供相关材料，否则投标无效。</w:t>
            </w:r>
          </w:p>
        </w:tc>
      </w:tr>
    </w:tbl>
    <w:p w14:paraId="7107A9F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（3）投标保证金。</w:t>
      </w:r>
    </w:p>
    <w:p w14:paraId="660717E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1.4有下列情形之一的，资格审查不合格：</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AA39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4276DF">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明细</w:t>
            </w:r>
          </w:p>
        </w:tc>
      </w:tr>
      <w:tr w14:paraId="00A22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307BBEC">
            <w:pPr>
              <w:pStyle w:val="11"/>
              <w:jc w:val="left"/>
              <w:rPr>
                <w:color w:val="auto"/>
                <w:sz w:val="24"/>
                <w:szCs w:val="24"/>
                <w:highlight w:val="none"/>
              </w:rPr>
            </w:pPr>
            <w:r>
              <w:rPr>
                <w:rFonts w:ascii="仿宋_GB2312" w:hAnsi="仿宋_GB2312" w:eastAsia="仿宋_GB2312" w:cs="仿宋_GB2312"/>
                <w:color w:val="auto"/>
                <w:sz w:val="24"/>
                <w:szCs w:val="24"/>
                <w:highlight w:val="none"/>
              </w:rPr>
              <w:t>未按照招标文件规定提交投标函</w:t>
            </w:r>
          </w:p>
        </w:tc>
      </w:tr>
      <w:tr w14:paraId="289DD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9CC2CDC">
            <w:pPr>
              <w:pStyle w:val="11"/>
              <w:jc w:val="left"/>
              <w:rPr>
                <w:color w:val="auto"/>
                <w:sz w:val="24"/>
                <w:szCs w:val="24"/>
                <w:highlight w:val="none"/>
              </w:rPr>
            </w:pPr>
            <w:r>
              <w:rPr>
                <w:rFonts w:ascii="仿宋_GB2312" w:hAnsi="仿宋_GB2312" w:eastAsia="仿宋_GB2312" w:cs="仿宋_GB2312"/>
                <w:color w:val="auto"/>
                <w:sz w:val="24"/>
                <w:szCs w:val="24"/>
                <w:highlight w:val="none"/>
              </w:rPr>
              <w:t>未按照招标文件规定提交投标人的资格及资信文件</w:t>
            </w:r>
          </w:p>
        </w:tc>
      </w:tr>
      <w:tr w14:paraId="4131E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B5D5F4D">
            <w:pPr>
              <w:pStyle w:val="11"/>
              <w:jc w:val="left"/>
              <w:rPr>
                <w:color w:val="auto"/>
                <w:sz w:val="24"/>
                <w:szCs w:val="24"/>
                <w:highlight w:val="none"/>
              </w:rPr>
            </w:pPr>
            <w:r>
              <w:rPr>
                <w:rFonts w:ascii="仿宋_GB2312" w:hAnsi="仿宋_GB2312" w:eastAsia="仿宋_GB2312" w:cs="仿宋_GB2312"/>
                <w:color w:val="auto"/>
                <w:sz w:val="24"/>
                <w:szCs w:val="24"/>
                <w:highlight w:val="none"/>
              </w:rPr>
              <w:t>未按照招标文件规定提交投标保证金</w:t>
            </w:r>
          </w:p>
        </w:tc>
      </w:tr>
    </w:tbl>
    <w:p w14:paraId="31BCA55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采购包1：</w:t>
      </w:r>
    </w:p>
    <w:p w14:paraId="4FB87577">
      <w:pPr>
        <w:pStyle w:val="11"/>
        <w:jc w:val="left"/>
        <w:rPr>
          <w:color w:val="auto"/>
          <w:sz w:val="24"/>
          <w:szCs w:val="24"/>
          <w:highlight w:val="none"/>
        </w:rPr>
      </w:pPr>
      <w:r>
        <w:rPr>
          <w:rFonts w:ascii="仿宋_GB2312" w:hAnsi="仿宋_GB2312" w:eastAsia="仿宋_GB2312" w:cs="仿宋_GB2312"/>
          <w:color w:val="auto"/>
          <w:sz w:val="24"/>
          <w:szCs w:val="24"/>
          <w:highlight w:val="none"/>
        </w:rPr>
        <w:t>资格审查不合格项：无</w:t>
      </w:r>
    </w:p>
    <w:p w14:paraId="2A415FB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1D8921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2、资格审查情况不得私自外泄，有关信息由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统一对外发布。</w:t>
      </w:r>
    </w:p>
    <w:p w14:paraId="790A8D8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3、资格审查合格的投标人不足三家的，不进行评标。同时，本次采购活动结束，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将依法组织后续采购活动（包括但不限于：重新招标、采用其他方式采购等）。</w:t>
      </w:r>
    </w:p>
    <w:p w14:paraId="665D9813">
      <w:pPr>
        <w:pStyle w:val="11"/>
        <w:jc w:val="both"/>
        <w:outlineLvl w:val="2"/>
        <w:rPr>
          <w:color w:val="auto"/>
          <w:sz w:val="24"/>
          <w:szCs w:val="24"/>
          <w:highlight w:val="none"/>
        </w:rPr>
      </w:pPr>
      <w:r>
        <w:rPr>
          <w:rFonts w:ascii="仿宋_GB2312" w:hAnsi="仿宋_GB2312" w:eastAsia="仿宋_GB2312" w:cs="仿宋_GB2312"/>
          <w:b/>
          <w:color w:val="auto"/>
          <w:sz w:val="24"/>
          <w:szCs w:val="24"/>
          <w:highlight w:val="none"/>
        </w:rPr>
        <w:t>二、评标</w:t>
      </w:r>
    </w:p>
    <w:p w14:paraId="0C3ACE2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4、资格审查结束后，由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负责评标委员会的组建及评标工作的组织。</w:t>
      </w:r>
    </w:p>
    <w:p w14:paraId="5AD6812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5、评标委员会</w:t>
      </w:r>
    </w:p>
    <w:p w14:paraId="5C18127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由采购人代表和评审专家两部分共5人组成，其中由福建省政府采购评审专家库产生的评审专家4人，由采购人派出的采购人代表1人。</w:t>
      </w:r>
    </w:p>
    <w:p w14:paraId="08031CA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5.2评标委员会负责具体评标事务，并按照下列原则依法独立履行有关职责：</w:t>
      </w:r>
    </w:p>
    <w:p w14:paraId="343CC2D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（1）评标应保护国家利益、社会公共利益和各方当事人合法权益，提高采购效益，保证项目质量。</w:t>
      </w:r>
    </w:p>
    <w:p w14:paraId="5E13B60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（2）评标应遵循公平、公正、科学、严谨和择优原则。</w:t>
      </w:r>
    </w:p>
    <w:p w14:paraId="43B1BCF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（3）评标的依据是招标文件和电子投标文件。</w:t>
      </w:r>
    </w:p>
    <w:p w14:paraId="0BEEE9A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（4）应按照招标文件规定推荐中标候选人或确定中标人。</w:t>
      </w:r>
    </w:p>
    <w:p w14:paraId="61692BD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（5）评标应遵守下列评标纪律：</w:t>
      </w:r>
    </w:p>
    <w:p w14:paraId="3B4F303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①评标情况不得私自外泄，有关信息由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统一对外发布。</w:t>
      </w:r>
    </w:p>
    <w:p w14:paraId="57F7815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②对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或投标人提供的要求保密的资料，不得摘记翻印和外传。</w:t>
      </w:r>
    </w:p>
    <w:p w14:paraId="721CD83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③不得收受投标人或有关人员的任何礼物，不得串联鼓动其他人袒护某投标人。若与投标人存在利害关系，则应主动声明并回避。</w:t>
      </w:r>
    </w:p>
    <w:p w14:paraId="0ECD48C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④全体评委应按照招标文件规定进行评标，一切认定事项应查有实据且不得弄虚作假。</w:t>
      </w:r>
    </w:p>
    <w:p w14:paraId="319BFC3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⑤评标中应充分发扬民主，推荐中标候选人或确定中标人后要服从评标报告。</w:t>
      </w:r>
    </w:p>
    <w:p w14:paraId="645E217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※对违反评标纪律的评委，将取消其评委资格，对评标工作造成严重损失者将予以通报批评乃至追究法律责任。</w:t>
      </w:r>
    </w:p>
    <w:p w14:paraId="3D0A0BA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6、评标程序</w:t>
      </w:r>
    </w:p>
    <w:p w14:paraId="1DB4AA8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6.1评标前的准备工作</w:t>
      </w:r>
    </w:p>
    <w:p w14:paraId="0C7B723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（1）全体评委应认真审阅招标文件，了解评委应履行或遵守的职责、义务和评标纪律。</w:t>
      </w:r>
    </w:p>
    <w:p w14:paraId="0A59697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73C8FFB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6.2符合性审查</w:t>
      </w:r>
    </w:p>
    <w:p w14:paraId="0EAAF5A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（1）评标委员会依据招标文件的实质性要求，对通过资格审查的电子投标文件进行符合性审查，以确定其是否满足招标文件的实质性要求。</w:t>
      </w:r>
    </w:p>
    <w:p w14:paraId="2EAB79B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（2）满足招标文件的实质性要求指电子投标文件对招标文件实质性要求的响应不存在重大偏差或保留。</w:t>
      </w:r>
    </w:p>
    <w:p w14:paraId="658052A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C1DC9E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31204F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（5）评标委员会对所有投标人都执行相同的程序和标准。</w:t>
      </w:r>
    </w:p>
    <w:p w14:paraId="60EC70E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（6）有下列情形之一的，符合性审查不合格：</w:t>
      </w:r>
    </w:p>
    <w:p w14:paraId="1847175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①项目一般情形：</w:t>
      </w:r>
    </w:p>
    <w:p w14:paraId="46941A92">
      <w:pPr>
        <w:pStyle w:val="11"/>
        <w:jc w:val="left"/>
        <w:rPr>
          <w:color w:val="auto"/>
          <w:sz w:val="24"/>
          <w:szCs w:val="24"/>
          <w:highlight w:val="none"/>
        </w:rPr>
      </w:pPr>
      <w:r>
        <w:rPr>
          <w:rFonts w:ascii="仿宋_GB2312" w:hAnsi="仿宋_GB2312" w:eastAsia="仿宋_GB2312" w:cs="仿宋_GB2312"/>
          <w:color w:val="auto"/>
          <w:sz w:val="24"/>
          <w:szCs w:val="24"/>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B277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C766658">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序号</w:t>
            </w:r>
          </w:p>
        </w:tc>
        <w:tc>
          <w:tcPr>
            <w:tcW w:w="3115" w:type="dxa"/>
          </w:tcPr>
          <w:p w14:paraId="5E0D6DA2">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符合审查要求概况</w:t>
            </w:r>
          </w:p>
        </w:tc>
        <w:tc>
          <w:tcPr>
            <w:tcW w:w="4153" w:type="dxa"/>
          </w:tcPr>
          <w:p w14:paraId="2B75523A">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评审点具体描述</w:t>
            </w:r>
          </w:p>
        </w:tc>
      </w:tr>
      <w:tr w14:paraId="4723F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24433CB">
            <w:pPr>
              <w:pStyle w:val="11"/>
              <w:jc w:val="left"/>
              <w:rPr>
                <w:color w:val="auto"/>
                <w:sz w:val="24"/>
                <w:szCs w:val="24"/>
                <w:highlight w:val="none"/>
              </w:rPr>
            </w:pPr>
            <w:r>
              <w:rPr>
                <w:rFonts w:ascii="仿宋_GB2312" w:hAnsi="仿宋_GB2312" w:eastAsia="仿宋_GB2312" w:cs="仿宋_GB2312"/>
                <w:color w:val="auto"/>
                <w:sz w:val="24"/>
                <w:szCs w:val="24"/>
                <w:highlight w:val="none"/>
              </w:rPr>
              <w:t>1</w:t>
            </w:r>
          </w:p>
        </w:tc>
        <w:tc>
          <w:tcPr>
            <w:tcW w:w="3115" w:type="dxa"/>
          </w:tcPr>
          <w:p w14:paraId="7287AFBF">
            <w:pPr>
              <w:pStyle w:val="11"/>
              <w:jc w:val="left"/>
              <w:rPr>
                <w:color w:val="auto"/>
                <w:sz w:val="24"/>
                <w:szCs w:val="24"/>
                <w:highlight w:val="none"/>
              </w:rPr>
            </w:pPr>
            <w:r>
              <w:rPr>
                <w:rFonts w:ascii="仿宋_GB2312" w:hAnsi="仿宋_GB2312" w:eastAsia="仿宋_GB2312" w:cs="仿宋_GB2312"/>
                <w:color w:val="auto"/>
                <w:sz w:val="24"/>
                <w:szCs w:val="24"/>
                <w:highlight w:val="none"/>
              </w:rPr>
              <w:t>情形1</w:t>
            </w:r>
          </w:p>
        </w:tc>
        <w:tc>
          <w:tcPr>
            <w:tcW w:w="4153" w:type="dxa"/>
          </w:tcPr>
          <w:p w14:paraId="1F60EE5C">
            <w:pPr>
              <w:pStyle w:val="11"/>
              <w:jc w:val="left"/>
              <w:rPr>
                <w:color w:val="auto"/>
                <w:sz w:val="24"/>
                <w:szCs w:val="24"/>
                <w:highlight w:val="none"/>
              </w:rPr>
            </w:pPr>
            <w:r>
              <w:rPr>
                <w:rFonts w:ascii="仿宋_GB2312" w:hAnsi="仿宋_GB2312" w:eastAsia="仿宋_GB2312" w:cs="仿宋_GB2312"/>
                <w:color w:val="auto"/>
                <w:sz w:val="24"/>
                <w:szCs w:val="24"/>
                <w:highlight w:val="none"/>
              </w:rPr>
              <w:t>违反招标文件中载明“投标无效”条款的规定；</w:t>
            </w:r>
          </w:p>
        </w:tc>
      </w:tr>
      <w:tr w14:paraId="3D31F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3A2C551">
            <w:pPr>
              <w:pStyle w:val="11"/>
              <w:jc w:val="left"/>
              <w:rPr>
                <w:color w:val="auto"/>
                <w:sz w:val="24"/>
                <w:szCs w:val="24"/>
                <w:highlight w:val="none"/>
              </w:rPr>
            </w:pPr>
            <w:r>
              <w:rPr>
                <w:rFonts w:ascii="仿宋_GB2312" w:hAnsi="仿宋_GB2312" w:eastAsia="仿宋_GB2312" w:cs="仿宋_GB2312"/>
                <w:color w:val="auto"/>
                <w:sz w:val="24"/>
                <w:szCs w:val="24"/>
                <w:highlight w:val="none"/>
              </w:rPr>
              <w:t>2</w:t>
            </w:r>
          </w:p>
        </w:tc>
        <w:tc>
          <w:tcPr>
            <w:tcW w:w="3115" w:type="dxa"/>
          </w:tcPr>
          <w:p w14:paraId="0B5C2B25">
            <w:pPr>
              <w:pStyle w:val="11"/>
              <w:jc w:val="left"/>
              <w:rPr>
                <w:color w:val="auto"/>
                <w:sz w:val="24"/>
                <w:szCs w:val="24"/>
                <w:highlight w:val="none"/>
              </w:rPr>
            </w:pPr>
            <w:r>
              <w:rPr>
                <w:rFonts w:ascii="仿宋_GB2312" w:hAnsi="仿宋_GB2312" w:eastAsia="仿宋_GB2312" w:cs="仿宋_GB2312"/>
                <w:color w:val="auto"/>
                <w:sz w:val="24"/>
                <w:szCs w:val="24"/>
                <w:highlight w:val="none"/>
              </w:rPr>
              <w:t>情形2</w:t>
            </w:r>
          </w:p>
        </w:tc>
        <w:tc>
          <w:tcPr>
            <w:tcW w:w="4153" w:type="dxa"/>
          </w:tcPr>
          <w:p w14:paraId="44E6393D">
            <w:pPr>
              <w:pStyle w:val="11"/>
              <w:jc w:val="left"/>
              <w:rPr>
                <w:color w:val="auto"/>
                <w:sz w:val="24"/>
                <w:szCs w:val="24"/>
                <w:highlight w:val="none"/>
              </w:rPr>
            </w:pPr>
            <w:r>
              <w:rPr>
                <w:rFonts w:ascii="仿宋_GB2312" w:hAnsi="仿宋_GB2312" w:eastAsia="仿宋_GB2312" w:cs="仿宋_GB2312"/>
                <w:color w:val="auto"/>
                <w:sz w:val="24"/>
                <w:szCs w:val="24"/>
                <w:highlight w:val="none"/>
              </w:rPr>
              <w:t>属于招标文件第三章第10.12条规定的投标无效情形；</w:t>
            </w:r>
          </w:p>
        </w:tc>
      </w:tr>
      <w:tr w14:paraId="055BF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2A87A1B">
            <w:pPr>
              <w:pStyle w:val="11"/>
              <w:jc w:val="left"/>
              <w:rPr>
                <w:color w:val="auto"/>
                <w:sz w:val="24"/>
                <w:szCs w:val="24"/>
                <w:highlight w:val="none"/>
              </w:rPr>
            </w:pPr>
            <w:r>
              <w:rPr>
                <w:rFonts w:ascii="仿宋_GB2312" w:hAnsi="仿宋_GB2312" w:eastAsia="仿宋_GB2312" w:cs="仿宋_GB2312"/>
                <w:color w:val="auto"/>
                <w:sz w:val="24"/>
                <w:szCs w:val="24"/>
                <w:highlight w:val="none"/>
              </w:rPr>
              <w:t>3</w:t>
            </w:r>
          </w:p>
        </w:tc>
        <w:tc>
          <w:tcPr>
            <w:tcW w:w="3115" w:type="dxa"/>
          </w:tcPr>
          <w:p w14:paraId="41CAB449">
            <w:pPr>
              <w:pStyle w:val="11"/>
              <w:jc w:val="left"/>
              <w:rPr>
                <w:color w:val="auto"/>
                <w:sz w:val="24"/>
                <w:szCs w:val="24"/>
                <w:highlight w:val="none"/>
              </w:rPr>
            </w:pPr>
            <w:r>
              <w:rPr>
                <w:rFonts w:ascii="仿宋_GB2312" w:hAnsi="仿宋_GB2312" w:eastAsia="仿宋_GB2312" w:cs="仿宋_GB2312"/>
                <w:color w:val="auto"/>
                <w:sz w:val="24"/>
                <w:szCs w:val="24"/>
                <w:highlight w:val="none"/>
              </w:rPr>
              <w:t>情形3</w:t>
            </w:r>
          </w:p>
        </w:tc>
        <w:tc>
          <w:tcPr>
            <w:tcW w:w="4153" w:type="dxa"/>
          </w:tcPr>
          <w:p w14:paraId="23ECAED3">
            <w:pPr>
              <w:pStyle w:val="11"/>
              <w:jc w:val="left"/>
              <w:rPr>
                <w:color w:val="auto"/>
                <w:sz w:val="24"/>
                <w:szCs w:val="24"/>
                <w:highlight w:val="none"/>
              </w:rPr>
            </w:pPr>
            <w:r>
              <w:rPr>
                <w:rFonts w:ascii="仿宋_GB2312" w:hAnsi="仿宋_GB2312" w:eastAsia="仿宋_GB2312" w:cs="仿宋_GB2312"/>
                <w:color w:val="auto"/>
                <w:sz w:val="24"/>
                <w:szCs w:val="24"/>
                <w:highlight w:val="none"/>
              </w:rPr>
              <w:t>投标文件对招标文件实质性要求的响应存在重大偏离或保留。</w:t>
            </w:r>
          </w:p>
        </w:tc>
      </w:tr>
    </w:tbl>
    <w:p w14:paraId="213B947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②本项目规定的其他情形：</w:t>
      </w:r>
    </w:p>
    <w:p w14:paraId="0B31E110">
      <w:pPr>
        <w:pStyle w:val="11"/>
        <w:jc w:val="left"/>
        <w:rPr>
          <w:color w:val="auto"/>
          <w:sz w:val="24"/>
          <w:szCs w:val="24"/>
          <w:highlight w:val="none"/>
        </w:rPr>
      </w:pPr>
      <w:r>
        <w:rPr>
          <w:rFonts w:ascii="仿宋_GB2312" w:hAnsi="仿宋_GB2312" w:eastAsia="仿宋_GB2312" w:cs="仿宋_GB2312"/>
          <w:color w:val="auto"/>
          <w:sz w:val="24"/>
          <w:szCs w:val="24"/>
          <w:highlight w:val="none"/>
        </w:rPr>
        <w:t>采购包1：</w:t>
      </w:r>
    </w:p>
    <w:p w14:paraId="56B1B1D5">
      <w:pPr>
        <w:pStyle w:val="11"/>
        <w:jc w:val="left"/>
        <w:rPr>
          <w:color w:val="auto"/>
          <w:sz w:val="24"/>
          <w:szCs w:val="24"/>
          <w:highlight w:val="none"/>
        </w:rPr>
      </w:pPr>
      <w:r>
        <w:rPr>
          <w:rFonts w:ascii="仿宋_GB2312" w:hAnsi="仿宋_GB2312" w:eastAsia="仿宋_GB2312" w:cs="仿宋_GB2312"/>
          <w:color w:val="auto"/>
          <w:sz w:val="24"/>
          <w:szCs w:val="24"/>
          <w:highlight w:val="none"/>
        </w:rPr>
        <w:t>技术符合性：无</w:t>
      </w:r>
    </w:p>
    <w:p w14:paraId="7304A097">
      <w:pPr>
        <w:pStyle w:val="11"/>
        <w:jc w:val="left"/>
        <w:rPr>
          <w:color w:val="auto"/>
          <w:sz w:val="24"/>
          <w:szCs w:val="24"/>
          <w:highlight w:val="none"/>
        </w:rPr>
      </w:pPr>
      <w:r>
        <w:rPr>
          <w:rFonts w:ascii="仿宋_GB2312" w:hAnsi="仿宋_GB2312" w:eastAsia="仿宋_GB2312" w:cs="仿宋_GB2312"/>
          <w:color w:val="auto"/>
          <w:sz w:val="24"/>
          <w:szCs w:val="24"/>
          <w:highlight w:val="none"/>
        </w:rPr>
        <w:t>商务符合性：无</w:t>
      </w:r>
    </w:p>
    <w:p w14:paraId="24C9B37D">
      <w:pPr>
        <w:pStyle w:val="11"/>
        <w:jc w:val="left"/>
        <w:rPr>
          <w:color w:val="auto"/>
          <w:sz w:val="24"/>
          <w:szCs w:val="24"/>
          <w:highlight w:val="none"/>
        </w:rPr>
      </w:pPr>
      <w:r>
        <w:rPr>
          <w:rFonts w:ascii="仿宋_GB2312" w:hAnsi="仿宋_GB2312" w:eastAsia="仿宋_GB2312" w:cs="仿宋_GB2312"/>
          <w:color w:val="auto"/>
          <w:sz w:val="24"/>
          <w:szCs w:val="24"/>
          <w:highlight w:val="none"/>
        </w:rPr>
        <w:t>价格符合性：无</w:t>
      </w:r>
    </w:p>
    <w:p w14:paraId="506E7FF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6.3澄清有关问题</w:t>
      </w:r>
    </w:p>
    <w:p w14:paraId="043ADE5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403508C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E26845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（3）电子投标文件报价出现前后不一致的，除招标文件另有规定外，按照下列规定修正：</w:t>
      </w:r>
    </w:p>
    <w:p w14:paraId="2B4F13A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①开标（报价）一览表内容与电子投标文件中相应内容不一致的，以开标（报价）一览表为准；</w:t>
      </w:r>
    </w:p>
    <w:p w14:paraId="472BDBF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②大写金额和小写金额不一致的，以大写金额为准；</w:t>
      </w:r>
    </w:p>
    <w:p w14:paraId="7F2D16B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③单价金额小数点或百分比有明显错位的，以开标（报价）一览表的总价为准，并修改单价；</w:t>
      </w:r>
    </w:p>
    <w:p w14:paraId="36B9A4C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④总价金额与按照单价汇总金额不一致的，以单价金额计算结果为准。</w:t>
      </w:r>
    </w:p>
    <w:p w14:paraId="7E3FED2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6B7CCE4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（4）关于细微偏差</w:t>
      </w:r>
    </w:p>
    <w:p w14:paraId="785BC5A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69B2BB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3318A8A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（5）关于投标描述（即电子投标文件中描述的内容）</w:t>
      </w:r>
    </w:p>
    <w:p w14:paraId="62F0085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①投标描述前后不一致且不涉及证明材料的：按照本章第6.3条第（1）、（2）款规定执行。</w:t>
      </w:r>
    </w:p>
    <w:p w14:paraId="43152EA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②投标描述与证明材料不一致或多份证明材料之间不一致的：</w:t>
      </w:r>
    </w:p>
    <w:p w14:paraId="67077BC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a.评标委员会将要求投标人进行书面澄清，并按照不利于投标人的内容进行评标。</w:t>
      </w:r>
    </w:p>
    <w:p w14:paraId="51AB4F4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9A2854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17FD95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6.4比较与评价</w:t>
      </w:r>
    </w:p>
    <w:p w14:paraId="5F71BC4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（1）按照本章第7条载明的评标方法和标准，对符合性审查合格的电子投标文件进行比较与评价。</w:t>
      </w:r>
    </w:p>
    <w:p w14:paraId="0C2001C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（2）关于相同品牌产品（政府采购服务类项目不适用本条款规定）</w:t>
      </w:r>
    </w:p>
    <w:p w14:paraId="30DEAB5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B6908E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a.招标文件规定的方式：</w:t>
      </w:r>
    </w:p>
    <w:p w14:paraId="47E8797C">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无</w:t>
      </w:r>
    </w:p>
    <w:p w14:paraId="2056D55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b.招标文件未规定的，采取随机抽取方式确定，其他投标无效。</w:t>
      </w:r>
    </w:p>
    <w:p w14:paraId="72BFF09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51BBB2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a.招标文件规定的方式：</w:t>
      </w:r>
    </w:p>
    <w:p w14:paraId="54A6D8B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无</w:t>
      </w:r>
    </w:p>
    <w:p w14:paraId="343BC5F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b.招标文件未规定的，采取随机抽取方式确定，其他同品牌投标人不作为中标候选人。</w:t>
      </w:r>
    </w:p>
    <w:p w14:paraId="358D03B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③非单一产品采购项目，多家投标人提供的核心产品品牌相同的，按照本章第6.4条第（2）款第①、②规定处理。</w:t>
      </w:r>
    </w:p>
    <w:p w14:paraId="0437DAF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（3）漏（缺）项</w:t>
      </w:r>
    </w:p>
    <w:p w14:paraId="20A2A40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①招标文件中要求列入报价的费用（含配置、功能），漏（缺）项的报价视为已经包括在投标总价中。</w:t>
      </w:r>
    </w:p>
    <w:p w14:paraId="4F0FFCF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②对多报项及赠送项的价格评标时不予核减，全部进入评标价评议。</w:t>
      </w:r>
    </w:p>
    <w:p w14:paraId="620664F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6.5推荐中标候选人：详见本章第7.2条规定。</w:t>
      </w:r>
    </w:p>
    <w:p w14:paraId="0B02DF30">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6.6编写评标报告</w:t>
      </w:r>
    </w:p>
    <w:p w14:paraId="140E699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（1）评标报告由评标委员会负责编写。</w:t>
      </w:r>
    </w:p>
    <w:p w14:paraId="366B81B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（2）评标报告应包括下列内容：</w:t>
      </w:r>
    </w:p>
    <w:p w14:paraId="0A89165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①招标公告刊登的媒体名称、开标日期和地点；</w:t>
      </w:r>
    </w:p>
    <w:p w14:paraId="4E6E7FE3">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②投标人名单和评标委员会成员名单；</w:t>
      </w:r>
    </w:p>
    <w:p w14:paraId="2B0B7068">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③评标方法和标准；</w:t>
      </w:r>
    </w:p>
    <w:p w14:paraId="7073781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④开标记录和评标情况及说明，包括无效投标人名单及原因；</w:t>
      </w:r>
    </w:p>
    <w:p w14:paraId="5ED42E3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⑤评标结果，包括中标候选人名单或确定的中标人；</w:t>
      </w:r>
    </w:p>
    <w:p w14:paraId="2F78F422">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⑥其他需要说明的情况，包括但不限于：评标过程中投标人的澄清、说明或补正，评委更换等。</w:t>
      </w:r>
    </w:p>
    <w:p w14:paraId="05EDA5B1">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54E778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58A99675">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6.9在评标过程中发现投标人有下列情形之一的，评标委员会应认定其投标无效，并书面报告本项目监督管理部门：</w:t>
      </w:r>
    </w:p>
    <w:p w14:paraId="433A9BE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（1）恶意串通（包括但不限于招标文件第三章第9.7条规定情形）；</w:t>
      </w:r>
    </w:p>
    <w:p w14:paraId="30308C2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（2）妨碍其他投标人的竞争行为；</w:t>
      </w:r>
    </w:p>
    <w:p w14:paraId="48AA7846">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（3）损害采购人或其他投标人的合法权益。</w:t>
      </w:r>
    </w:p>
    <w:p w14:paraId="51DAA529">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6.10评标过程中，有下列情形之一的，应予废标：</w:t>
      </w:r>
    </w:p>
    <w:p w14:paraId="348E02F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（1）符合性审查合格的投标人不足三家的；</w:t>
      </w:r>
    </w:p>
    <w:p w14:paraId="177BFCB7">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（2）有关法律、法规和规章规定废标的情形。</w:t>
      </w:r>
    </w:p>
    <w:p w14:paraId="0B2DB70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※若废标，则本次采购活动结束， </w:t>
      </w:r>
      <w:r>
        <w:rPr>
          <w:rFonts w:hint="eastAsia" w:ascii="仿宋_GB2312" w:hAnsi="仿宋_GB2312" w:eastAsia="仿宋_GB2312" w:cs="仿宋_GB2312"/>
          <w:color w:val="auto"/>
          <w:sz w:val="24"/>
          <w:szCs w:val="24"/>
          <w:highlight w:val="none"/>
          <w:lang w:eastAsia="zh-CN"/>
        </w:rPr>
        <w:t>厦门住总建设有限公司</w:t>
      </w:r>
      <w:r>
        <w:rPr>
          <w:rFonts w:ascii="仿宋_GB2312" w:hAnsi="仿宋_GB2312" w:eastAsia="仿宋_GB2312" w:cs="仿宋_GB2312"/>
          <w:color w:val="auto"/>
          <w:sz w:val="24"/>
          <w:szCs w:val="24"/>
          <w:highlight w:val="none"/>
        </w:rPr>
        <w:t xml:space="preserve"> 将依法组织后续采购活动（包括但不限于：重新招标、采用其他方式采购等）。</w:t>
      </w:r>
    </w:p>
    <w:p w14:paraId="075AFF0A">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7、评标方法和标准</w:t>
      </w:r>
    </w:p>
    <w:p w14:paraId="5E05A8B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7.1评标方法：</w:t>
      </w:r>
    </w:p>
    <w:p w14:paraId="2D0682A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采购包1：综合评分法</w:t>
      </w:r>
    </w:p>
    <w:p w14:paraId="0A130A34">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7.2评标标准</w:t>
      </w:r>
    </w:p>
    <w:p w14:paraId="6077087E">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采购包1：综合评分法</w:t>
      </w:r>
    </w:p>
    <w:p w14:paraId="2685CBEE">
      <w:pPr>
        <w:pStyle w:val="11"/>
        <w:jc w:val="both"/>
        <w:rPr>
          <w:color w:val="auto"/>
          <w:sz w:val="24"/>
          <w:szCs w:val="24"/>
          <w:highlight w:val="none"/>
        </w:rPr>
      </w:pPr>
      <w:r>
        <w:rPr>
          <w:rFonts w:ascii="仿宋_GB2312" w:hAnsi="仿宋_GB2312" w:eastAsia="仿宋_GB2312" w:cs="仿宋_GB2312"/>
          <w:color w:val="auto"/>
          <w:sz w:val="24"/>
          <w:szCs w:val="24"/>
          <w:highlight w:val="none"/>
        </w:rPr>
        <w:t>（1）投标文件满足招标文件全部实质性要求，且按照评审因素的量化指标评审得分（即评标总得分）最高的投标人为中标候选人。</w:t>
      </w:r>
    </w:p>
    <w:p w14:paraId="7FC891A0">
      <w:pPr>
        <w:pStyle w:val="11"/>
        <w:jc w:val="both"/>
        <w:rPr>
          <w:color w:val="auto"/>
          <w:sz w:val="24"/>
          <w:szCs w:val="24"/>
          <w:highlight w:val="none"/>
        </w:rPr>
      </w:pPr>
      <w:r>
        <w:rPr>
          <w:rFonts w:ascii="仿宋_GB2312" w:hAnsi="仿宋_GB2312" w:eastAsia="仿宋_GB2312" w:cs="仿宋_GB2312"/>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638EB98">
      <w:pPr>
        <w:pStyle w:val="11"/>
        <w:jc w:val="both"/>
        <w:rPr>
          <w:color w:val="auto"/>
          <w:sz w:val="24"/>
          <w:szCs w:val="24"/>
          <w:highlight w:val="none"/>
        </w:rPr>
      </w:pPr>
      <w:r>
        <w:rPr>
          <w:rFonts w:ascii="仿宋_GB2312" w:hAnsi="仿宋_GB2312" w:eastAsia="仿宋_GB2312" w:cs="仿宋_GB2312"/>
          <w:color w:val="auto"/>
          <w:sz w:val="24"/>
          <w:szCs w:val="24"/>
          <w:highlight w:val="none"/>
        </w:rPr>
        <w:t>各项评审因素的设置如下：</w:t>
      </w:r>
    </w:p>
    <w:p w14:paraId="0F6915E5">
      <w:pPr>
        <w:pStyle w:val="11"/>
        <w:jc w:val="both"/>
        <w:rPr>
          <w:color w:val="auto"/>
          <w:sz w:val="24"/>
          <w:szCs w:val="24"/>
          <w:highlight w:val="none"/>
        </w:rPr>
      </w:pPr>
      <w:r>
        <w:rPr>
          <w:rFonts w:ascii="仿宋_GB2312" w:hAnsi="仿宋_GB2312" w:eastAsia="仿宋_GB2312" w:cs="仿宋_GB2312"/>
          <w:color w:val="auto"/>
          <w:sz w:val="24"/>
          <w:szCs w:val="24"/>
          <w:highlight w:val="none"/>
        </w:rPr>
        <w:t>价格项（F1×A1）满分为10.0000分</w:t>
      </w:r>
    </w:p>
    <w:p w14:paraId="49D4899D">
      <w:pPr>
        <w:pStyle w:val="11"/>
        <w:jc w:val="both"/>
        <w:rPr>
          <w:color w:val="auto"/>
          <w:sz w:val="24"/>
          <w:szCs w:val="24"/>
          <w:highlight w:val="none"/>
        </w:rPr>
      </w:pPr>
      <w:r>
        <w:rPr>
          <w:rFonts w:ascii="仿宋_GB2312" w:hAnsi="仿宋_GB2312" w:eastAsia="仿宋_GB2312" w:cs="仿宋_GB2312"/>
          <w:color w:val="auto"/>
          <w:sz w:val="24"/>
          <w:szCs w:val="24"/>
          <w:highlight w:val="none"/>
        </w:rPr>
        <w:t>满足招标文件要求且报价最低的为评审基准价，价格得分=（评审基准价/报价）×标准分值</w:t>
      </w:r>
    </w:p>
    <w:p w14:paraId="73ABB19E">
      <w:pPr>
        <w:pStyle w:val="11"/>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技术项（F2×A2）满分为6</w:t>
      </w: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7"/>
        <w:gridCol w:w="821"/>
        <w:gridCol w:w="893"/>
        <w:gridCol w:w="6072"/>
      </w:tblGrid>
      <w:tr w14:paraId="450A0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tcPr>
          <w:p w14:paraId="444DE5A3">
            <w:pPr>
              <w:pStyle w:val="11"/>
              <w:jc w:val="both"/>
              <w:rPr>
                <w:color w:val="auto"/>
                <w:sz w:val="24"/>
                <w:szCs w:val="24"/>
                <w:highlight w:val="none"/>
              </w:rPr>
            </w:pPr>
            <w:r>
              <w:rPr>
                <w:rFonts w:ascii="仿宋_GB2312" w:hAnsi="仿宋_GB2312" w:eastAsia="仿宋_GB2312" w:cs="仿宋_GB2312"/>
                <w:color w:val="auto"/>
                <w:sz w:val="24"/>
                <w:szCs w:val="24"/>
                <w:highlight w:val="none"/>
              </w:rPr>
              <w:t>项目</w:t>
            </w:r>
          </w:p>
        </w:tc>
        <w:tc>
          <w:tcPr>
            <w:tcW w:w="821" w:type="dxa"/>
          </w:tcPr>
          <w:p w14:paraId="511080A0">
            <w:pPr>
              <w:pStyle w:val="11"/>
              <w:jc w:val="both"/>
              <w:rPr>
                <w:color w:val="auto"/>
                <w:sz w:val="24"/>
                <w:szCs w:val="24"/>
                <w:highlight w:val="none"/>
              </w:rPr>
            </w:pPr>
            <w:r>
              <w:rPr>
                <w:rFonts w:ascii="仿宋_GB2312" w:hAnsi="仿宋_GB2312" w:eastAsia="仿宋_GB2312" w:cs="仿宋_GB2312"/>
                <w:color w:val="auto"/>
                <w:sz w:val="24"/>
                <w:szCs w:val="24"/>
                <w:highlight w:val="none"/>
              </w:rPr>
              <w:t>分值</w:t>
            </w:r>
          </w:p>
        </w:tc>
        <w:tc>
          <w:tcPr>
            <w:tcW w:w="893" w:type="dxa"/>
          </w:tcPr>
          <w:p w14:paraId="005F7B79">
            <w:pPr>
              <w:pStyle w:val="11"/>
              <w:jc w:val="both"/>
              <w:rPr>
                <w:color w:val="auto"/>
                <w:sz w:val="24"/>
                <w:szCs w:val="24"/>
                <w:highlight w:val="none"/>
              </w:rPr>
            </w:pPr>
            <w:r>
              <w:rPr>
                <w:rFonts w:ascii="仿宋_GB2312" w:hAnsi="仿宋_GB2312" w:eastAsia="仿宋_GB2312" w:cs="仿宋_GB2312"/>
                <w:color w:val="auto"/>
                <w:sz w:val="24"/>
                <w:szCs w:val="24"/>
                <w:highlight w:val="none"/>
              </w:rPr>
              <w:t>是否客观项</w:t>
            </w:r>
          </w:p>
        </w:tc>
        <w:tc>
          <w:tcPr>
            <w:tcW w:w="6072" w:type="dxa"/>
          </w:tcPr>
          <w:p w14:paraId="58052A32">
            <w:pPr>
              <w:pStyle w:val="11"/>
              <w:jc w:val="both"/>
              <w:rPr>
                <w:color w:val="auto"/>
                <w:sz w:val="24"/>
                <w:szCs w:val="24"/>
                <w:highlight w:val="none"/>
              </w:rPr>
            </w:pPr>
            <w:r>
              <w:rPr>
                <w:rFonts w:ascii="仿宋_GB2312" w:hAnsi="仿宋_GB2312" w:eastAsia="仿宋_GB2312" w:cs="仿宋_GB2312"/>
                <w:color w:val="auto"/>
                <w:sz w:val="24"/>
                <w:szCs w:val="24"/>
                <w:highlight w:val="none"/>
              </w:rPr>
              <w:t>描述</w:t>
            </w:r>
          </w:p>
        </w:tc>
      </w:tr>
      <w:tr w14:paraId="1D77E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65DD5402">
            <w:pPr>
              <w:pStyle w:val="11"/>
              <w:jc w:val="center"/>
              <w:rPr>
                <w:color w:val="auto"/>
                <w:sz w:val="24"/>
                <w:szCs w:val="24"/>
                <w:highlight w:val="none"/>
              </w:rPr>
            </w:pPr>
            <w:r>
              <w:rPr>
                <w:rFonts w:ascii="仿宋_GB2312" w:hAnsi="仿宋_GB2312" w:eastAsia="仿宋_GB2312" w:cs="仿宋_GB2312"/>
                <w:color w:val="auto"/>
                <w:sz w:val="24"/>
                <w:szCs w:val="24"/>
                <w:highlight w:val="none"/>
              </w:rPr>
              <w:t>1-1</w:t>
            </w:r>
          </w:p>
        </w:tc>
        <w:tc>
          <w:tcPr>
            <w:tcW w:w="821" w:type="dxa"/>
            <w:vAlign w:val="center"/>
          </w:tcPr>
          <w:p w14:paraId="4D54B7EE">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51D71A59">
            <w:pPr>
              <w:pStyle w:val="11"/>
              <w:jc w:val="center"/>
              <w:rPr>
                <w:color w:val="auto"/>
                <w:sz w:val="24"/>
                <w:szCs w:val="24"/>
                <w:highlight w:val="none"/>
              </w:rPr>
            </w:pPr>
            <w:r>
              <w:rPr>
                <w:rFonts w:ascii="仿宋_GB2312" w:hAnsi="仿宋_GB2312" w:eastAsia="仿宋_GB2312" w:cs="仿宋_GB2312"/>
                <w:color w:val="auto"/>
                <w:sz w:val="24"/>
                <w:szCs w:val="24"/>
                <w:highlight w:val="none"/>
              </w:rPr>
              <w:t>否</w:t>
            </w:r>
          </w:p>
        </w:tc>
        <w:tc>
          <w:tcPr>
            <w:tcW w:w="6072" w:type="dxa"/>
            <w:vAlign w:val="top"/>
          </w:tcPr>
          <w:p w14:paraId="65BDF2BE">
            <w:pPr>
              <w:keepNext w:val="0"/>
              <w:keepLines w:val="0"/>
              <w:widowControl/>
              <w:suppressLineNumbers w:val="0"/>
              <w:jc w:val="left"/>
              <w:textAlignment w:val="top"/>
              <w:rPr>
                <w:rFonts w:hint="eastAsia" w:ascii="宋体" w:hAnsi="宋体" w:eastAsia="宋体" w:cs="宋体"/>
                <w:color w:val="auto"/>
                <w:sz w:val="24"/>
                <w:szCs w:val="24"/>
                <w:highlight w:val="none"/>
              </w:rPr>
            </w:pPr>
            <w:r>
              <w:rPr>
                <w:rStyle w:val="14"/>
                <w:rFonts w:hint="eastAsia" w:ascii="宋体" w:hAnsi="宋体" w:eastAsia="宋体" w:cs="宋体"/>
                <w:color w:val="auto"/>
                <w:highlight w:val="none"/>
                <w:lang w:val="en-US" w:eastAsia="zh-CN" w:bidi="ar"/>
              </w:rPr>
              <w:t>根据供应商针对本项目制订的服务质量保障方案进行评价，①有根据项目实际情况制订相应的服务质量保障方案的得2.8分；②在满足①的基础上，方案至少包含：项目管理团队保障、服务人员素质保障、制度保障、薪资福利保障等的得</w:t>
            </w:r>
            <w:r>
              <w:rPr>
                <w:rStyle w:val="15"/>
                <w:rFonts w:hint="eastAsia" w:ascii="宋体" w:hAnsi="宋体" w:eastAsia="宋体" w:cs="宋体"/>
                <w:color w:val="auto"/>
                <w:highlight w:val="none"/>
                <w:lang w:val="en-US" w:eastAsia="zh-CN" w:bidi="ar"/>
              </w:rPr>
              <w:t>3</w:t>
            </w:r>
            <w:r>
              <w:rPr>
                <w:rStyle w:val="14"/>
                <w:rFonts w:hint="eastAsia" w:ascii="宋体" w:hAnsi="宋体" w:eastAsia="宋体" w:cs="宋体"/>
                <w:color w:val="auto"/>
                <w:highlight w:val="none"/>
                <w:lang w:val="en-US" w:eastAsia="zh-CN" w:bidi="ar"/>
              </w:rPr>
              <w:t>分；③方案存在较大缺漏或未提供方案的不得分。</w:t>
            </w:r>
          </w:p>
        </w:tc>
      </w:tr>
      <w:tr w14:paraId="2870D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610AFEDE">
            <w:pPr>
              <w:pStyle w:val="11"/>
              <w:jc w:val="center"/>
              <w:rPr>
                <w:color w:val="auto"/>
                <w:sz w:val="24"/>
                <w:szCs w:val="24"/>
                <w:highlight w:val="none"/>
              </w:rPr>
            </w:pPr>
            <w:r>
              <w:rPr>
                <w:rFonts w:ascii="仿宋_GB2312" w:hAnsi="仿宋_GB2312" w:eastAsia="仿宋_GB2312" w:cs="仿宋_GB2312"/>
                <w:color w:val="auto"/>
                <w:sz w:val="24"/>
                <w:szCs w:val="24"/>
                <w:highlight w:val="none"/>
              </w:rPr>
              <w:t>1-2</w:t>
            </w:r>
          </w:p>
        </w:tc>
        <w:tc>
          <w:tcPr>
            <w:tcW w:w="821" w:type="dxa"/>
            <w:vAlign w:val="center"/>
          </w:tcPr>
          <w:p w14:paraId="0CECF4E6">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461EA79B">
            <w:pPr>
              <w:pStyle w:val="11"/>
              <w:jc w:val="center"/>
              <w:rPr>
                <w:color w:val="auto"/>
                <w:sz w:val="24"/>
                <w:szCs w:val="24"/>
                <w:highlight w:val="none"/>
              </w:rPr>
            </w:pPr>
            <w:r>
              <w:rPr>
                <w:rFonts w:ascii="仿宋_GB2312" w:hAnsi="仿宋_GB2312" w:eastAsia="仿宋_GB2312" w:cs="仿宋_GB2312"/>
                <w:color w:val="auto"/>
                <w:sz w:val="24"/>
                <w:szCs w:val="24"/>
                <w:highlight w:val="none"/>
              </w:rPr>
              <w:t>否</w:t>
            </w:r>
          </w:p>
        </w:tc>
        <w:tc>
          <w:tcPr>
            <w:tcW w:w="6072" w:type="dxa"/>
            <w:vAlign w:val="top"/>
          </w:tcPr>
          <w:p w14:paraId="3C322F37">
            <w:pPr>
              <w:keepNext w:val="0"/>
              <w:keepLines w:val="0"/>
              <w:widowControl/>
              <w:suppressLineNumbers w:val="0"/>
              <w:jc w:val="left"/>
              <w:textAlignment w:val="top"/>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根据供应商针对本项目管理制定的人员配置方案进行评价：①有针对本项目提出具体的人员岗位配置的得2.8分；②在满足①的基础上，方案包括根据项目服务人员的投入数量、班次安排、岗位职责等的得</w:t>
            </w:r>
            <w:r>
              <w:rPr>
                <w:rStyle w:val="15"/>
                <w:rFonts w:hint="eastAsia" w:ascii="宋体" w:hAnsi="宋体" w:eastAsia="宋体" w:cs="宋体"/>
                <w:color w:val="auto"/>
                <w:highlight w:val="none"/>
                <w:lang w:val="en-US" w:eastAsia="zh-CN" w:bidi="ar"/>
              </w:rPr>
              <w:t>3</w:t>
            </w:r>
            <w:r>
              <w:rPr>
                <w:rStyle w:val="14"/>
                <w:rFonts w:hint="eastAsia" w:ascii="宋体" w:hAnsi="宋体" w:eastAsia="宋体" w:cs="宋体"/>
                <w:color w:val="auto"/>
                <w:highlight w:val="none"/>
                <w:lang w:val="en-US" w:eastAsia="zh-CN" w:bidi="ar"/>
              </w:rPr>
              <w:t>分；③方案存在较大缺漏或未提供方案的不得分。</w:t>
            </w:r>
          </w:p>
        </w:tc>
      </w:tr>
      <w:tr w14:paraId="6A79C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744CF75C">
            <w:pPr>
              <w:pStyle w:val="11"/>
              <w:jc w:val="center"/>
              <w:rPr>
                <w:color w:val="auto"/>
                <w:sz w:val="24"/>
                <w:szCs w:val="24"/>
                <w:highlight w:val="none"/>
              </w:rPr>
            </w:pPr>
            <w:r>
              <w:rPr>
                <w:rFonts w:ascii="仿宋_GB2312" w:hAnsi="仿宋_GB2312" w:eastAsia="仿宋_GB2312" w:cs="仿宋_GB2312"/>
                <w:color w:val="auto"/>
                <w:sz w:val="24"/>
                <w:szCs w:val="24"/>
                <w:highlight w:val="none"/>
              </w:rPr>
              <w:t>1-3</w:t>
            </w:r>
          </w:p>
        </w:tc>
        <w:tc>
          <w:tcPr>
            <w:tcW w:w="821" w:type="dxa"/>
            <w:vAlign w:val="center"/>
          </w:tcPr>
          <w:p w14:paraId="3E8D242B">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1C5A4046">
            <w:pPr>
              <w:pStyle w:val="11"/>
              <w:jc w:val="center"/>
              <w:rPr>
                <w:color w:val="auto"/>
                <w:sz w:val="24"/>
                <w:szCs w:val="24"/>
                <w:highlight w:val="none"/>
              </w:rPr>
            </w:pPr>
            <w:r>
              <w:rPr>
                <w:rFonts w:ascii="仿宋_GB2312" w:hAnsi="仿宋_GB2312" w:eastAsia="仿宋_GB2312" w:cs="仿宋_GB2312"/>
                <w:color w:val="auto"/>
                <w:sz w:val="24"/>
                <w:szCs w:val="24"/>
                <w:highlight w:val="none"/>
              </w:rPr>
              <w:t>否</w:t>
            </w:r>
          </w:p>
        </w:tc>
        <w:tc>
          <w:tcPr>
            <w:tcW w:w="6072" w:type="dxa"/>
            <w:vAlign w:val="top"/>
          </w:tcPr>
          <w:p w14:paraId="746F120A">
            <w:pPr>
              <w:keepNext w:val="0"/>
              <w:keepLines w:val="0"/>
              <w:widowControl/>
              <w:suppressLineNumbers w:val="0"/>
              <w:jc w:val="left"/>
              <w:textAlignment w:val="top"/>
              <w:rPr>
                <w:rFonts w:hint="eastAsia" w:ascii="宋体" w:hAnsi="宋体" w:eastAsia="宋体" w:cs="宋体"/>
                <w:color w:val="auto"/>
                <w:sz w:val="24"/>
                <w:szCs w:val="24"/>
                <w:highlight w:val="none"/>
              </w:rPr>
            </w:pPr>
            <w:r>
              <w:rPr>
                <w:rStyle w:val="14"/>
                <w:rFonts w:hint="eastAsia" w:ascii="宋体" w:hAnsi="宋体" w:eastAsia="宋体" w:cs="宋体"/>
                <w:color w:val="auto"/>
                <w:highlight w:val="none"/>
                <w:lang w:val="en-US" w:eastAsia="zh-CN" w:bidi="ar"/>
              </w:rPr>
              <w:t>根据供应商针对本项目制订的安全生产保障措施方案进行评价：①有针对本项目提出具体的安全生产保障措施的得2.8分；②在满足①的基础上，方案包括对员工开展道路安全教育、作业过程人身安全的预防措施、道路安全标识警示安排等的得</w:t>
            </w:r>
            <w:r>
              <w:rPr>
                <w:rStyle w:val="15"/>
                <w:rFonts w:hint="eastAsia" w:ascii="宋体" w:hAnsi="宋体" w:eastAsia="宋体" w:cs="宋体"/>
                <w:color w:val="auto"/>
                <w:highlight w:val="none"/>
                <w:lang w:val="en-US" w:eastAsia="zh-CN" w:bidi="ar"/>
              </w:rPr>
              <w:t>3</w:t>
            </w:r>
            <w:r>
              <w:rPr>
                <w:rStyle w:val="14"/>
                <w:rFonts w:hint="eastAsia" w:ascii="宋体" w:hAnsi="宋体" w:eastAsia="宋体" w:cs="宋体"/>
                <w:color w:val="auto"/>
                <w:highlight w:val="none"/>
                <w:lang w:val="en-US" w:eastAsia="zh-CN" w:bidi="ar"/>
              </w:rPr>
              <w:t>分；③方案存在较大缺漏或未提供方案的不得分。</w:t>
            </w:r>
          </w:p>
        </w:tc>
      </w:tr>
      <w:tr w14:paraId="2DE65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7872DB6C">
            <w:pPr>
              <w:pStyle w:val="11"/>
              <w:jc w:val="center"/>
              <w:rPr>
                <w:color w:val="auto"/>
                <w:sz w:val="24"/>
                <w:szCs w:val="24"/>
                <w:highlight w:val="none"/>
              </w:rPr>
            </w:pPr>
            <w:r>
              <w:rPr>
                <w:rFonts w:ascii="仿宋_GB2312" w:hAnsi="仿宋_GB2312" w:eastAsia="仿宋_GB2312" w:cs="仿宋_GB2312"/>
                <w:color w:val="auto"/>
                <w:sz w:val="24"/>
                <w:szCs w:val="24"/>
                <w:highlight w:val="none"/>
              </w:rPr>
              <w:t>1-4</w:t>
            </w:r>
          </w:p>
        </w:tc>
        <w:tc>
          <w:tcPr>
            <w:tcW w:w="821" w:type="dxa"/>
            <w:vAlign w:val="center"/>
          </w:tcPr>
          <w:p w14:paraId="10898687">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2C411633">
            <w:pPr>
              <w:pStyle w:val="11"/>
              <w:jc w:val="center"/>
              <w:rPr>
                <w:color w:val="auto"/>
                <w:sz w:val="24"/>
                <w:szCs w:val="24"/>
                <w:highlight w:val="none"/>
              </w:rPr>
            </w:pPr>
            <w:r>
              <w:rPr>
                <w:rFonts w:ascii="仿宋_GB2312" w:hAnsi="仿宋_GB2312" w:eastAsia="仿宋_GB2312" w:cs="仿宋_GB2312"/>
                <w:color w:val="auto"/>
                <w:sz w:val="24"/>
                <w:szCs w:val="24"/>
                <w:highlight w:val="none"/>
              </w:rPr>
              <w:t>否</w:t>
            </w:r>
          </w:p>
        </w:tc>
        <w:tc>
          <w:tcPr>
            <w:tcW w:w="6072" w:type="dxa"/>
            <w:vAlign w:val="top"/>
          </w:tcPr>
          <w:p w14:paraId="221EA9B3">
            <w:pPr>
              <w:keepNext w:val="0"/>
              <w:keepLines w:val="0"/>
              <w:widowControl/>
              <w:suppressLineNumbers w:val="0"/>
              <w:jc w:val="left"/>
              <w:textAlignment w:val="top"/>
              <w:rPr>
                <w:rFonts w:hint="eastAsia" w:ascii="宋体" w:hAnsi="宋体" w:eastAsia="宋体" w:cs="宋体"/>
                <w:color w:val="auto"/>
                <w:sz w:val="24"/>
                <w:szCs w:val="24"/>
                <w:highlight w:val="none"/>
              </w:rPr>
            </w:pPr>
            <w:r>
              <w:rPr>
                <w:rStyle w:val="14"/>
                <w:rFonts w:hint="eastAsia" w:ascii="宋体" w:hAnsi="宋体" w:eastAsia="宋体" w:cs="宋体"/>
                <w:color w:val="auto"/>
                <w:highlight w:val="none"/>
                <w:lang w:val="en-US" w:eastAsia="zh-CN" w:bidi="ar"/>
              </w:rPr>
              <w:t>根据供应商针对本项目人员培训计划方案进行评价：①有针对本项目提出具体的培训课程体系的得2.8分；②在满足①的基础上，方案包括人员专业技能、心理健康、职业素养培训等的得</w:t>
            </w:r>
            <w:r>
              <w:rPr>
                <w:rStyle w:val="15"/>
                <w:rFonts w:hint="eastAsia" w:ascii="宋体" w:hAnsi="宋体" w:eastAsia="宋体" w:cs="宋体"/>
                <w:color w:val="auto"/>
                <w:highlight w:val="none"/>
                <w:lang w:val="en-US" w:eastAsia="zh-CN" w:bidi="ar"/>
              </w:rPr>
              <w:t>3</w:t>
            </w:r>
            <w:r>
              <w:rPr>
                <w:rStyle w:val="14"/>
                <w:rFonts w:hint="eastAsia" w:ascii="宋体" w:hAnsi="宋体" w:eastAsia="宋体" w:cs="宋体"/>
                <w:color w:val="auto"/>
                <w:highlight w:val="none"/>
                <w:lang w:val="en-US" w:eastAsia="zh-CN" w:bidi="ar"/>
              </w:rPr>
              <w:t>分；③方案存在较大缺漏或未提供方案的不得分。</w:t>
            </w:r>
          </w:p>
        </w:tc>
      </w:tr>
      <w:tr w14:paraId="2FFD4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71E8CF7E">
            <w:pPr>
              <w:pStyle w:val="11"/>
              <w:jc w:val="center"/>
              <w:rPr>
                <w:color w:val="auto"/>
                <w:sz w:val="24"/>
                <w:szCs w:val="24"/>
                <w:highlight w:val="none"/>
              </w:rPr>
            </w:pPr>
            <w:r>
              <w:rPr>
                <w:rFonts w:ascii="仿宋_GB2312" w:hAnsi="仿宋_GB2312" w:eastAsia="仿宋_GB2312" w:cs="仿宋_GB2312"/>
                <w:color w:val="auto"/>
                <w:sz w:val="24"/>
                <w:szCs w:val="24"/>
                <w:highlight w:val="none"/>
              </w:rPr>
              <w:t>1-5</w:t>
            </w:r>
          </w:p>
        </w:tc>
        <w:tc>
          <w:tcPr>
            <w:tcW w:w="821" w:type="dxa"/>
            <w:vAlign w:val="center"/>
          </w:tcPr>
          <w:p w14:paraId="21F189E9">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7EF9BD01">
            <w:pPr>
              <w:pStyle w:val="11"/>
              <w:jc w:val="center"/>
              <w:rPr>
                <w:color w:val="auto"/>
                <w:sz w:val="24"/>
                <w:szCs w:val="24"/>
                <w:highlight w:val="none"/>
              </w:rPr>
            </w:pPr>
            <w:r>
              <w:rPr>
                <w:rFonts w:ascii="仿宋_GB2312" w:hAnsi="仿宋_GB2312" w:eastAsia="仿宋_GB2312" w:cs="仿宋_GB2312"/>
                <w:color w:val="auto"/>
                <w:sz w:val="24"/>
                <w:szCs w:val="24"/>
                <w:highlight w:val="none"/>
              </w:rPr>
              <w:t>否</w:t>
            </w:r>
          </w:p>
        </w:tc>
        <w:tc>
          <w:tcPr>
            <w:tcW w:w="6072" w:type="dxa"/>
            <w:vAlign w:val="top"/>
          </w:tcPr>
          <w:p w14:paraId="020E06D7">
            <w:pPr>
              <w:keepNext w:val="0"/>
              <w:keepLines w:val="0"/>
              <w:widowControl/>
              <w:suppressLineNumbers w:val="0"/>
              <w:jc w:val="left"/>
              <w:textAlignment w:val="top"/>
              <w:rPr>
                <w:rFonts w:hint="eastAsia" w:ascii="宋体" w:hAnsi="宋体" w:eastAsia="宋体" w:cs="宋体"/>
                <w:color w:val="auto"/>
                <w:sz w:val="24"/>
                <w:szCs w:val="24"/>
                <w:highlight w:val="none"/>
              </w:rPr>
            </w:pPr>
            <w:r>
              <w:rPr>
                <w:rStyle w:val="14"/>
                <w:rFonts w:hint="eastAsia" w:ascii="宋体" w:hAnsi="宋体" w:eastAsia="宋体" w:cs="宋体"/>
                <w:color w:val="auto"/>
                <w:highlight w:val="none"/>
                <w:lang w:val="en-US" w:eastAsia="zh-CN" w:bidi="ar"/>
              </w:rPr>
              <w:t>根据供应商针对本项目制定的应急保障服务方案进行评价：①有针对本项目提出具体的应急保障措施的得2.8分；②在满足①的基础上，方案包括突发事件服务保障、重大节日活动服务保障、上级部门检查服务保障的得</w:t>
            </w:r>
            <w:r>
              <w:rPr>
                <w:rStyle w:val="15"/>
                <w:rFonts w:hint="eastAsia" w:ascii="宋体" w:hAnsi="宋体" w:eastAsia="宋体" w:cs="宋体"/>
                <w:color w:val="auto"/>
                <w:highlight w:val="none"/>
                <w:lang w:val="en-US" w:eastAsia="zh-CN" w:bidi="ar"/>
              </w:rPr>
              <w:t>3</w:t>
            </w:r>
            <w:r>
              <w:rPr>
                <w:rStyle w:val="14"/>
                <w:rFonts w:hint="eastAsia" w:ascii="宋体" w:hAnsi="宋体" w:eastAsia="宋体" w:cs="宋体"/>
                <w:color w:val="auto"/>
                <w:highlight w:val="none"/>
                <w:lang w:val="en-US" w:eastAsia="zh-CN" w:bidi="ar"/>
              </w:rPr>
              <w:t>分；③方案存在较大缺漏或未提供方案的不得分。</w:t>
            </w:r>
          </w:p>
        </w:tc>
      </w:tr>
      <w:tr w14:paraId="7FAD2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1F16A8E8">
            <w:pPr>
              <w:pStyle w:val="11"/>
              <w:jc w:val="center"/>
              <w:rPr>
                <w:color w:val="auto"/>
                <w:sz w:val="24"/>
                <w:szCs w:val="24"/>
                <w:highlight w:val="none"/>
              </w:rPr>
            </w:pPr>
            <w:r>
              <w:rPr>
                <w:rFonts w:ascii="仿宋_GB2312" w:hAnsi="仿宋_GB2312" w:eastAsia="仿宋_GB2312" w:cs="仿宋_GB2312"/>
                <w:color w:val="auto"/>
                <w:sz w:val="24"/>
                <w:szCs w:val="24"/>
                <w:highlight w:val="none"/>
              </w:rPr>
              <w:t>1-6</w:t>
            </w:r>
          </w:p>
        </w:tc>
        <w:tc>
          <w:tcPr>
            <w:tcW w:w="821" w:type="dxa"/>
            <w:vAlign w:val="center"/>
          </w:tcPr>
          <w:p w14:paraId="0C4A616D">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38F2D505">
            <w:pPr>
              <w:pStyle w:val="11"/>
              <w:jc w:val="center"/>
              <w:rPr>
                <w:color w:val="auto"/>
                <w:sz w:val="24"/>
                <w:szCs w:val="24"/>
                <w:highlight w:val="none"/>
              </w:rPr>
            </w:pPr>
            <w:r>
              <w:rPr>
                <w:rFonts w:ascii="仿宋_GB2312" w:hAnsi="仿宋_GB2312" w:eastAsia="仿宋_GB2312" w:cs="仿宋_GB2312"/>
                <w:color w:val="auto"/>
                <w:sz w:val="24"/>
                <w:szCs w:val="24"/>
                <w:highlight w:val="none"/>
              </w:rPr>
              <w:t>否</w:t>
            </w:r>
          </w:p>
        </w:tc>
        <w:tc>
          <w:tcPr>
            <w:tcW w:w="6072" w:type="dxa"/>
            <w:vAlign w:val="top"/>
          </w:tcPr>
          <w:p w14:paraId="46900B9C">
            <w:pPr>
              <w:keepNext w:val="0"/>
              <w:keepLines w:val="0"/>
              <w:widowControl/>
              <w:suppressLineNumbers w:val="0"/>
              <w:jc w:val="left"/>
              <w:textAlignment w:val="top"/>
              <w:rPr>
                <w:rFonts w:hint="eastAsia" w:ascii="宋体" w:hAnsi="宋体" w:eastAsia="宋体" w:cs="宋体"/>
                <w:color w:val="auto"/>
                <w:sz w:val="24"/>
                <w:szCs w:val="24"/>
                <w:highlight w:val="none"/>
              </w:rPr>
            </w:pPr>
            <w:r>
              <w:rPr>
                <w:rStyle w:val="14"/>
                <w:rFonts w:hint="eastAsia" w:ascii="宋体" w:hAnsi="宋体" w:eastAsia="宋体" w:cs="宋体"/>
                <w:color w:val="auto"/>
                <w:highlight w:val="none"/>
                <w:lang w:val="en-US" w:eastAsia="zh-CN" w:bidi="ar"/>
              </w:rPr>
              <w:t>根据供应商针对本项目制定的日常消杀、突发公共卫生事件方案进行评价：①有针对本项目提出上述方案措施的得2.8分；②在满足①的基础上，方案包括日常消杀计划（公厕、垃圾收运点）、突发公共卫生事件应对措施、危险废物应急处理的得</w:t>
            </w:r>
            <w:r>
              <w:rPr>
                <w:rStyle w:val="15"/>
                <w:rFonts w:hint="eastAsia" w:ascii="宋体" w:hAnsi="宋体" w:eastAsia="宋体" w:cs="宋体"/>
                <w:color w:val="auto"/>
                <w:highlight w:val="none"/>
                <w:lang w:val="en-US" w:eastAsia="zh-CN" w:bidi="ar"/>
              </w:rPr>
              <w:t>3</w:t>
            </w:r>
            <w:r>
              <w:rPr>
                <w:rStyle w:val="14"/>
                <w:rFonts w:hint="eastAsia" w:ascii="宋体" w:hAnsi="宋体" w:eastAsia="宋体" w:cs="宋体"/>
                <w:color w:val="auto"/>
                <w:highlight w:val="none"/>
                <w:lang w:val="en-US" w:eastAsia="zh-CN" w:bidi="ar"/>
              </w:rPr>
              <w:t>分；③方案存在较大缺漏或未提供方案的不得分。</w:t>
            </w:r>
          </w:p>
        </w:tc>
      </w:tr>
      <w:tr w14:paraId="37352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3C37A6EF">
            <w:pPr>
              <w:pStyle w:val="11"/>
              <w:jc w:val="center"/>
              <w:rPr>
                <w:color w:val="auto"/>
                <w:sz w:val="24"/>
                <w:szCs w:val="24"/>
                <w:highlight w:val="none"/>
              </w:rPr>
            </w:pPr>
            <w:r>
              <w:rPr>
                <w:rFonts w:ascii="仿宋_GB2312" w:hAnsi="仿宋_GB2312" w:eastAsia="仿宋_GB2312" w:cs="仿宋_GB2312"/>
                <w:color w:val="auto"/>
                <w:sz w:val="24"/>
                <w:szCs w:val="24"/>
                <w:highlight w:val="none"/>
              </w:rPr>
              <w:t>1-7</w:t>
            </w:r>
          </w:p>
        </w:tc>
        <w:tc>
          <w:tcPr>
            <w:tcW w:w="821" w:type="dxa"/>
            <w:vAlign w:val="center"/>
          </w:tcPr>
          <w:p w14:paraId="48CFA828">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2C0ECAC5">
            <w:pPr>
              <w:jc w:val="center"/>
              <w:rPr>
                <w:color w:val="auto"/>
                <w:sz w:val="24"/>
                <w:szCs w:val="24"/>
                <w:highlight w:val="none"/>
              </w:rPr>
            </w:pPr>
            <w:r>
              <w:rPr>
                <w:rFonts w:ascii="仿宋_GB2312" w:hAnsi="仿宋_GB2312" w:eastAsia="仿宋_GB2312" w:cs="仿宋_GB2312"/>
                <w:color w:val="auto"/>
                <w:sz w:val="24"/>
                <w:szCs w:val="24"/>
                <w:highlight w:val="none"/>
              </w:rPr>
              <w:t>否</w:t>
            </w:r>
          </w:p>
        </w:tc>
        <w:tc>
          <w:tcPr>
            <w:tcW w:w="6072" w:type="dxa"/>
            <w:vAlign w:val="top"/>
          </w:tcPr>
          <w:p w14:paraId="378249EC">
            <w:pPr>
              <w:keepNext w:val="0"/>
              <w:keepLines w:val="0"/>
              <w:widowControl/>
              <w:suppressLineNumbers w:val="0"/>
              <w:jc w:val="left"/>
              <w:textAlignment w:val="top"/>
              <w:rPr>
                <w:rFonts w:hint="eastAsia" w:ascii="宋体" w:hAnsi="宋体" w:eastAsia="宋体" w:cs="宋体"/>
                <w:color w:val="auto"/>
                <w:sz w:val="24"/>
                <w:szCs w:val="24"/>
                <w:highlight w:val="none"/>
              </w:rPr>
            </w:pPr>
            <w:r>
              <w:rPr>
                <w:rStyle w:val="14"/>
                <w:rFonts w:hint="eastAsia" w:ascii="宋体" w:hAnsi="宋体" w:eastAsia="宋体" w:cs="宋体"/>
                <w:color w:val="auto"/>
                <w:highlight w:val="none"/>
                <w:lang w:val="en-US" w:eastAsia="zh-CN" w:bidi="ar"/>
              </w:rPr>
              <w:t>根据供应商针对本项目提出的清扫保洁服务方案进行评价：①有针对本项目提出具体的清扫保洁服务措施的得2.8分；②在满足①的基础上，方案包括环境卫生管理流程、保洁工作标准、保洁服务细则、道路冲洗细则的得</w:t>
            </w:r>
            <w:r>
              <w:rPr>
                <w:rStyle w:val="15"/>
                <w:rFonts w:hint="eastAsia" w:ascii="宋体" w:hAnsi="宋体" w:eastAsia="宋体" w:cs="宋体"/>
                <w:color w:val="auto"/>
                <w:highlight w:val="none"/>
                <w:lang w:val="en-US" w:eastAsia="zh-CN" w:bidi="ar"/>
              </w:rPr>
              <w:t>3</w:t>
            </w:r>
            <w:r>
              <w:rPr>
                <w:rStyle w:val="14"/>
                <w:rFonts w:hint="eastAsia" w:ascii="宋体" w:hAnsi="宋体" w:eastAsia="宋体" w:cs="宋体"/>
                <w:color w:val="auto"/>
                <w:highlight w:val="none"/>
                <w:lang w:val="en-US" w:eastAsia="zh-CN" w:bidi="ar"/>
              </w:rPr>
              <w:t>分；③方案存在较大缺漏或未提供方案的不得分。</w:t>
            </w:r>
          </w:p>
        </w:tc>
      </w:tr>
      <w:tr w14:paraId="45153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47936363">
            <w:pPr>
              <w:pStyle w:val="11"/>
              <w:jc w:val="center"/>
              <w:rPr>
                <w:color w:val="auto"/>
                <w:sz w:val="24"/>
                <w:szCs w:val="24"/>
                <w:highlight w:val="none"/>
              </w:rPr>
            </w:pPr>
            <w:r>
              <w:rPr>
                <w:rFonts w:ascii="仿宋_GB2312" w:hAnsi="仿宋_GB2312" w:eastAsia="仿宋_GB2312" w:cs="仿宋_GB2312"/>
                <w:color w:val="auto"/>
                <w:sz w:val="24"/>
                <w:szCs w:val="24"/>
                <w:highlight w:val="none"/>
              </w:rPr>
              <w:t>1-8</w:t>
            </w:r>
          </w:p>
        </w:tc>
        <w:tc>
          <w:tcPr>
            <w:tcW w:w="821" w:type="dxa"/>
            <w:vAlign w:val="center"/>
          </w:tcPr>
          <w:p w14:paraId="1ED98DD5">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64B46016">
            <w:pPr>
              <w:jc w:val="center"/>
              <w:rPr>
                <w:color w:val="auto"/>
                <w:sz w:val="24"/>
                <w:szCs w:val="24"/>
                <w:highlight w:val="none"/>
              </w:rPr>
            </w:pPr>
            <w:r>
              <w:rPr>
                <w:rFonts w:ascii="仿宋_GB2312" w:hAnsi="仿宋_GB2312" w:eastAsia="仿宋_GB2312" w:cs="仿宋_GB2312"/>
                <w:color w:val="auto"/>
                <w:sz w:val="24"/>
                <w:szCs w:val="24"/>
                <w:highlight w:val="none"/>
              </w:rPr>
              <w:t>否</w:t>
            </w:r>
          </w:p>
        </w:tc>
        <w:tc>
          <w:tcPr>
            <w:tcW w:w="6072" w:type="dxa"/>
            <w:vAlign w:val="top"/>
          </w:tcPr>
          <w:p w14:paraId="1F2127FA">
            <w:pPr>
              <w:keepNext w:val="0"/>
              <w:keepLines w:val="0"/>
              <w:widowControl/>
              <w:suppressLineNumbers w:val="0"/>
              <w:jc w:val="left"/>
              <w:textAlignment w:val="top"/>
              <w:rPr>
                <w:rFonts w:hint="eastAsia" w:ascii="宋体" w:hAnsi="宋体" w:eastAsia="宋体" w:cs="宋体"/>
                <w:color w:val="auto"/>
                <w:sz w:val="24"/>
                <w:szCs w:val="24"/>
                <w:highlight w:val="none"/>
              </w:rPr>
            </w:pPr>
            <w:r>
              <w:rPr>
                <w:rStyle w:val="14"/>
                <w:rFonts w:hint="eastAsia" w:ascii="宋体" w:hAnsi="宋体" w:eastAsia="宋体" w:cs="宋体"/>
                <w:color w:val="auto"/>
                <w:highlight w:val="none"/>
                <w:lang w:val="en-US" w:eastAsia="zh-CN" w:bidi="ar"/>
              </w:rPr>
              <w:t>根据供应商针对项目制定的公厕保洁管理方案进行评价：①有针对本项目提出具体的公厕保洁措施的得2.8分；②在满足①的基础上，方案包括保洁流程、保洁标准、公厕管理公约的得</w:t>
            </w:r>
            <w:r>
              <w:rPr>
                <w:rStyle w:val="15"/>
                <w:rFonts w:hint="eastAsia" w:ascii="宋体" w:hAnsi="宋体" w:eastAsia="宋体" w:cs="宋体"/>
                <w:color w:val="auto"/>
                <w:highlight w:val="none"/>
                <w:lang w:val="en-US" w:eastAsia="zh-CN" w:bidi="ar"/>
              </w:rPr>
              <w:t>3</w:t>
            </w:r>
            <w:r>
              <w:rPr>
                <w:rStyle w:val="14"/>
                <w:rFonts w:hint="eastAsia" w:ascii="宋体" w:hAnsi="宋体" w:eastAsia="宋体" w:cs="宋体"/>
                <w:color w:val="auto"/>
                <w:highlight w:val="none"/>
                <w:lang w:val="en-US" w:eastAsia="zh-CN" w:bidi="ar"/>
              </w:rPr>
              <w:t>分；③方案存在较大缺漏或未提供方案的不得分。</w:t>
            </w:r>
          </w:p>
        </w:tc>
      </w:tr>
      <w:tr w14:paraId="35258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68329ABF">
            <w:pPr>
              <w:pStyle w:val="11"/>
              <w:jc w:val="center"/>
              <w:rPr>
                <w:color w:val="auto"/>
                <w:sz w:val="24"/>
                <w:szCs w:val="24"/>
                <w:highlight w:val="none"/>
              </w:rPr>
            </w:pPr>
            <w:r>
              <w:rPr>
                <w:rFonts w:ascii="仿宋_GB2312" w:hAnsi="仿宋_GB2312" w:eastAsia="仿宋_GB2312" w:cs="仿宋_GB2312"/>
                <w:color w:val="auto"/>
                <w:sz w:val="24"/>
                <w:szCs w:val="24"/>
                <w:highlight w:val="none"/>
              </w:rPr>
              <w:t>1-9</w:t>
            </w:r>
          </w:p>
        </w:tc>
        <w:tc>
          <w:tcPr>
            <w:tcW w:w="821" w:type="dxa"/>
            <w:vAlign w:val="center"/>
          </w:tcPr>
          <w:p w14:paraId="7B42E4D6">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6A07DBC2">
            <w:pPr>
              <w:jc w:val="center"/>
              <w:rPr>
                <w:color w:val="auto"/>
                <w:sz w:val="24"/>
                <w:szCs w:val="24"/>
                <w:highlight w:val="none"/>
              </w:rPr>
            </w:pPr>
            <w:r>
              <w:rPr>
                <w:rFonts w:ascii="仿宋_GB2312" w:hAnsi="仿宋_GB2312" w:eastAsia="仿宋_GB2312" w:cs="仿宋_GB2312"/>
                <w:color w:val="auto"/>
                <w:sz w:val="24"/>
                <w:szCs w:val="24"/>
                <w:highlight w:val="none"/>
              </w:rPr>
              <w:t>否</w:t>
            </w:r>
          </w:p>
        </w:tc>
        <w:tc>
          <w:tcPr>
            <w:tcW w:w="6072" w:type="dxa"/>
            <w:vAlign w:val="top"/>
          </w:tcPr>
          <w:p w14:paraId="79208D87">
            <w:pPr>
              <w:keepNext w:val="0"/>
              <w:keepLines w:val="0"/>
              <w:widowControl/>
              <w:suppressLineNumbers w:val="0"/>
              <w:jc w:val="left"/>
              <w:textAlignment w:val="top"/>
              <w:rPr>
                <w:rFonts w:hint="eastAsia" w:ascii="宋体" w:hAnsi="宋体" w:eastAsia="宋体" w:cs="宋体"/>
                <w:color w:val="auto"/>
                <w:sz w:val="24"/>
                <w:szCs w:val="24"/>
                <w:highlight w:val="none"/>
              </w:rPr>
            </w:pPr>
            <w:r>
              <w:rPr>
                <w:rStyle w:val="14"/>
                <w:rFonts w:hint="eastAsia" w:ascii="宋体" w:hAnsi="宋体" w:eastAsia="宋体" w:cs="宋体"/>
                <w:color w:val="auto"/>
                <w:highlight w:val="none"/>
                <w:lang w:val="en-US" w:eastAsia="zh-CN" w:bidi="ar"/>
              </w:rPr>
              <w:t>供应商根据本项目市容环境卫生实际情况提出的农村垃圾收运服务方案进行评价：①有针对本项目提出具体的收运措施的得2.8分；②在满足①的基础上，方案包括作业规范、容器清洗、垃圾中转规程等的得</w:t>
            </w:r>
            <w:r>
              <w:rPr>
                <w:rStyle w:val="15"/>
                <w:rFonts w:hint="eastAsia" w:ascii="宋体" w:hAnsi="宋体" w:eastAsia="宋体" w:cs="宋体"/>
                <w:color w:val="auto"/>
                <w:highlight w:val="none"/>
                <w:lang w:val="en-US" w:eastAsia="zh-CN" w:bidi="ar"/>
              </w:rPr>
              <w:t>3</w:t>
            </w:r>
            <w:r>
              <w:rPr>
                <w:rStyle w:val="14"/>
                <w:rFonts w:hint="eastAsia" w:ascii="宋体" w:hAnsi="宋体" w:eastAsia="宋体" w:cs="宋体"/>
                <w:color w:val="auto"/>
                <w:highlight w:val="none"/>
                <w:lang w:val="en-US" w:eastAsia="zh-CN" w:bidi="ar"/>
              </w:rPr>
              <w:t>分；③方案存在较大缺漏或未提供方案的不得分。</w:t>
            </w:r>
          </w:p>
        </w:tc>
      </w:tr>
      <w:tr w14:paraId="5DF28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3B8E72D8">
            <w:pPr>
              <w:pStyle w:val="11"/>
              <w:jc w:val="center"/>
              <w:rPr>
                <w:color w:val="auto"/>
                <w:sz w:val="24"/>
                <w:szCs w:val="24"/>
                <w:highlight w:val="none"/>
              </w:rPr>
            </w:pPr>
            <w:r>
              <w:rPr>
                <w:rFonts w:ascii="仿宋_GB2312" w:hAnsi="仿宋_GB2312" w:eastAsia="仿宋_GB2312" w:cs="仿宋_GB2312"/>
                <w:color w:val="auto"/>
                <w:sz w:val="24"/>
                <w:szCs w:val="24"/>
                <w:highlight w:val="none"/>
              </w:rPr>
              <w:t>1-10</w:t>
            </w:r>
          </w:p>
        </w:tc>
        <w:tc>
          <w:tcPr>
            <w:tcW w:w="821" w:type="dxa"/>
            <w:vAlign w:val="center"/>
          </w:tcPr>
          <w:p w14:paraId="33A6B46B">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5994C6D4">
            <w:pPr>
              <w:jc w:val="center"/>
              <w:rPr>
                <w:color w:val="auto"/>
                <w:sz w:val="24"/>
                <w:szCs w:val="24"/>
                <w:highlight w:val="none"/>
              </w:rPr>
            </w:pPr>
            <w:r>
              <w:rPr>
                <w:rFonts w:ascii="仿宋_GB2312" w:hAnsi="仿宋_GB2312" w:eastAsia="仿宋_GB2312" w:cs="仿宋_GB2312"/>
                <w:color w:val="auto"/>
                <w:sz w:val="24"/>
                <w:szCs w:val="24"/>
                <w:highlight w:val="none"/>
              </w:rPr>
              <w:t>否</w:t>
            </w:r>
          </w:p>
        </w:tc>
        <w:tc>
          <w:tcPr>
            <w:tcW w:w="6072" w:type="dxa"/>
            <w:vAlign w:val="top"/>
          </w:tcPr>
          <w:p w14:paraId="5A9B7E40">
            <w:pPr>
              <w:keepNext w:val="0"/>
              <w:keepLines w:val="0"/>
              <w:widowControl/>
              <w:suppressLineNumbers w:val="0"/>
              <w:jc w:val="left"/>
              <w:textAlignment w:val="top"/>
              <w:rPr>
                <w:rFonts w:hint="eastAsia" w:ascii="宋体" w:hAnsi="宋体" w:eastAsia="宋体" w:cs="宋体"/>
                <w:color w:val="auto"/>
                <w:sz w:val="24"/>
                <w:szCs w:val="24"/>
                <w:highlight w:val="none"/>
              </w:rPr>
            </w:pPr>
            <w:r>
              <w:rPr>
                <w:rStyle w:val="14"/>
                <w:rFonts w:hint="eastAsia" w:ascii="宋体" w:hAnsi="宋体" w:eastAsia="宋体" w:cs="宋体"/>
                <w:color w:val="auto"/>
                <w:highlight w:val="none"/>
                <w:lang w:val="en-US" w:eastAsia="zh-CN" w:bidi="ar"/>
              </w:rPr>
              <w:t>根据供应商针对本项目制定的过渡交接方案进行评价：①有针对本项目提出具体的交接措施的得2.8分；②在满足①的基础上，方案包括工作资料、档案移交，维稳保障、进场计划、退出机制的得</w:t>
            </w:r>
            <w:r>
              <w:rPr>
                <w:rStyle w:val="15"/>
                <w:rFonts w:hint="eastAsia" w:ascii="宋体" w:hAnsi="宋体" w:eastAsia="宋体" w:cs="宋体"/>
                <w:color w:val="auto"/>
                <w:highlight w:val="none"/>
                <w:lang w:val="en-US" w:eastAsia="zh-CN" w:bidi="ar"/>
              </w:rPr>
              <w:t>3</w:t>
            </w:r>
            <w:r>
              <w:rPr>
                <w:rStyle w:val="14"/>
                <w:rFonts w:hint="eastAsia" w:ascii="宋体" w:hAnsi="宋体" w:eastAsia="宋体" w:cs="宋体"/>
                <w:color w:val="auto"/>
                <w:highlight w:val="none"/>
                <w:lang w:val="en-US" w:eastAsia="zh-CN" w:bidi="ar"/>
              </w:rPr>
              <w:t>分；③方案存在较大缺漏或未提供方案的不得分。</w:t>
            </w:r>
          </w:p>
        </w:tc>
      </w:tr>
      <w:tr w14:paraId="444E3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shd w:val="clear" w:color="auto" w:fill="auto"/>
            <w:vAlign w:val="center"/>
          </w:tcPr>
          <w:p w14:paraId="7334692E">
            <w:pPr>
              <w:pStyle w:val="11"/>
              <w:jc w:val="center"/>
              <w:rPr>
                <w:rFonts w:hint="eastAsia" w:asciiTheme="minorHAnsi" w:hAnsiTheme="minorHAnsi" w:eastAsiaTheme="minorEastAsia" w:cstheme="minorBidi"/>
                <w:color w:val="auto"/>
                <w:sz w:val="24"/>
                <w:szCs w:val="24"/>
                <w:highlight w:val="none"/>
                <w:lang w:val="en-US" w:eastAsia="zh-Hans"/>
              </w:rPr>
            </w:pPr>
            <w:r>
              <w:rPr>
                <w:rFonts w:ascii="仿宋_GB2312" w:hAnsi="仿宋_GB2312" w:eastAsia="仿宋_GB2312" w:cs="仿宋_GB2312"/>
                <w:color w:val="auto"/>
                <w:sz w:val="24"/>
                <w:szCs w:val="24"/>
                <w:highlight w:val="none"/>
              </w:rPr>
              <w:t>1-11</w:t>
            </w:r>
          </w:p>
        </w:tc>
        <w:tc>
          <w:tcPr>
            <w:tcW w:w="821" w:type="dxa"/>
            <w:shd w:val="clear" w:color="auto" w:fill="auto"/>
            <w:vAlign w:val="center"/>
          </w:tcPr>
          <w:p w14:paraId="6EFA2086">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shd w:val="clear" w:color="auto" w:fill="auto"/>
            <w:vAlign w:val="center"/>
          </w:tcPr>
          <w:p w14:paraId="746B3751">
            <w:pPr>
              <w:pStyle w:val="11"/>
              <w:jc w:val="center"/>
              <w:rPr>
                <w:rFonts w:hint="eastAsia" w:asciiTheme="minorHAnsi" w:hAnsiTheme="minorHAnsi" w:eastAsiaTheme="minorEastAsia" w:cstheme="minorBidi"/>
                <w:color w:val="auto"/>
                <w:sz w:val="24"/>
                <w:szCs w:val="24"/>
                <w:highlight w:val="none"/>
                <w:lang w:val="en-US" w:eastAsia="zh-Hans"/>
              </w:rPr>
            </w:pPr>
            <w:r>
              <w:rPr>
                <w:rFonts w:ascii="仿宋_GB2312" w:hAnsi="仿宋_GB2312" w:eastAsia="仿宋_GB2312" w:cs="仿宋_GB2312"/>
                <w:color w:val="auto"/>
                <w:sz w:val="24"/>
                <w:szCs w:val="24"/>
                <w:highlight w:val="none"/>
              </w:rPr>
              <w:t>是</w:t>
            </w:r>
          </w:p>
        </w:tc>
        <w:tc>
          <w:tcPr>
            <w:tcW w:w="6072" w:type="dxa"/>
            <w:shd w:val="clear" w:color="auto" w:fill="auto"/>
            <w:vAlign w:val="top"/>
          </w:tcPr>
          <w:p w14:paraId="6F88163E">
            <w:pPr>
              <w:keepNext w:val="0"/>
              <w:keepLines w:val="0"/>
              <w:widowControl/>
              <w:suppressLineNumbers w:val="0"/>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根据供应商针对本项目制定的管理规章制度、员工奖罚方案进行评价：提供的方案包含①项目管理规章制度、②保洁质量自检方案、③员工奖罚方案、</w:t>
            </w:r>
            <w:r>
              <w:rPr>
                <w:rStyle w:val="16"/>
                <w:rFonts w:hint="eastAsia" w:ascii="宋体" w:hAnsi="宋体" w:eastAsia="宋体" w:cs="宋体"/>
                <w:color w:val="auto"/>
                <w:highlight w:val="none"/>
                <w:lang w:val="en-US" w:eastAsia="zh-CN" w:bidi="ar"/>
              </w:rPr>
              <w:t>④</w:t>
            </w:r>
            <w:r>
              <w:rPr>
                <w:rStyle w:val="17"/>
                <w:rFonts w:hint="eastAsia" w:ascii="宋体" w:hAnsi="宋体" w:eastAsia="宋体" w:cs="宋体"/>
                <w:color w:val="auto"/>
                <w:highlight w:val="none"/>
                <w:lang w:val="en-US" w:eastAsia="zh-CN" w:bidi="ar"/>
              </w:rPr>
              <w:t xml:space="preserve">车辆管理制度，每缺一项扣1分，满分3分。未提供或不符合以上情形的不得分。  </w:t>
            </w:r>
          </w:p>
        </w:tc>
      </w:tr>
      <w:tr w14:paraId="54777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shd w:val="clear" w:color="auto" w:fill="auto"/>
            <w:vAlign w:val="center"/>
          </w:tcPr>
          <w:p w14:paraId="017A630F">
            <w:pPr>
              <w:pStyle w:val="11"/>
              <w:jc w:val="center"/>
              <w:rPr>
                <w:rFonts w:hint="eastAsia" w:asciiTheme="minorHAnsi" w:hAnsiTheme="minorHAnsi" w:eastAsiaTheme="minorEastAsia" w:cstheme="minorBidi"/>
                <w:color w:val="auto"/>
                <w:sz w:val="24"/>
                <w:szCs w:val="24"/>
                <w:highlight w:val="none"/>
                <w:lang w:val="en-US" w:eastAsia="zh-Hans"/>
              </w:rPr>
            </w:pPr>
            <w:r>
              <w:rPr>
                <w:rFonts w:ascii="仿宋_GB2312" w:hAnsi="仿宋_GB2312" w:eastAsia="仿宋_GB2312" w:cs="仿宋_GB2312"/>
                <w:color w:val="auto"/>
                <w:sz w:val="24"/>
                <w:szCs w:val="24"/>
                <w:highlight w:val="none"/>
              </w:rPr>
              <w:t>1-12</w:t>
            </w:r>
          </w:p>
        </w:tc>
        <w:tc>
          <w:tcPr>
            <w:tcW w:w="821" w:type="dxa"/>
            <w:shd w:val="clear" w:color="auto" w:fill="auto"/>
            <w:vAlign w:val="center"/>
          </w:tcPr>
          <w:p w14:paraId="3AF753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shd w:val="clear" w:color="auto" w:fill="auto"/>
            <w:vAlign w:val="center"/>
          </w:tcPr>
          <w:p w14:paraId="7D2E29C5">
            <w:pPr>
              <w:pStyle w:val="11"/>
              <w:jc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是</w:t>
            </w:r>
          </w:p>
        </w:tc>
        <w:tc>
          <w:tcPr>
            <w:tcW w:w="6072" w:type="dxa"/>
            <w:shd w:val="clear" w:color="auto" w:fill="auto"/>
            <w:vAlign w:val="top"/>
          </w:tcPr>
          <w:p w14:paraId="7F2E45CF">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供应商针对本采购包所提供的垃圾收运工作服务和运营的工作计划及组织实施方案进行评价：提供的方案包含①垃圾清运收纳服务计划、②垃圾运输作业措施方案、③垃圾转运措施，每提供一个得1分，满分3分。未提供或不符合以上情形的不得分。</w:t>
            </w:r>
          </w:p>
        </w:tc>
      </w:tr>
      <w:tr w14:paraId="30066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shd w:val="clear" w:color="auto" w:fill="auto"/>
            <w:vAlign w:val="center"/>
          </w:tcPr>
          <w:p w14:paraId="555870E9">
            <w:pPr>
              <w:pStyle w:val="11"/>
              <w:jc w:val="center"/>
              <w:rPr>
                <w:rFonts w:hint="eastAsia" w:asciiTheme="minorHAnsi" w:hAnsiTheme="minorHAnsi" w:eastAsiaTheme="minorEastAsia" w:cstheme="minorBidi"/>
                <w:color w:val="auto"/>
                <w:sz w:val="24"/>
                <w:szCs w:val="24"/>
                <w:highlight w:val="none"/>
                <w:lang w:val="en-US" w:eastAsia="zh-Hans"/>
              </w:rPr>
            </w:pPr>
            <w:r>
              <w:rPr>
                <w:rFonts w:ascii="仿宋_GB2312" w:hAnsi="仿宋_GB2312" w:eastAsia="仿宋_GB2312" w:cs="仿宋_GB2312"/>
                <w:color w:val="auto"/>
                <w:sz w:val="24"/>
                <w:szCs w:val="24"/>
                <w:highlight w:val="none"/>
              </w:rPr>
              <w:t>1-13</w:t>
            </w:r>
          </w:p>
        </w:tc>
        <w:tc>
          <w:tcPr>
            <w:tcW w:w="821" w:type="dxa"/>
            <w:shd w:val="clear" w:color="auto" w:fill="auto"/>
            <w:vAlign w:val="center"/>
          </w:tcPr>
          <w:p w14:paraId="2C9AE4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shd w:val="clear" w:color="auto" w:fill="auto"/>
            <w:vAlign w:val="center"/>
          </w:tcPr>
          <w:p w14:paraId="4CBCE357">
            <w:pPr>
              <w:pStyle w:val="11"/>
              <w:jc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是</w:t>
            </w:r>
          </w:p>
        </w:tc>
        <w:tc>
          <w:tcPr>
            <w:tcW w:w="6072" w:type="dxa"/>
            <w:shd w:val="clear" w:color="auto" w:fill="auto"/>
            <w:vAlign w:val="top"/>
          </w:tcPr>
          <w:p w14:paraId="3064FA49">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供应商针对本项目受相关政府监督平台发现及群众举报的问题处理预案进行评价：提供的方案包含①投诉处理的流程、②执行标准、③反馈机制，每提供一个得1分，满分3分。未提供或不符合以上情形的不得分。</w:t>
            </w:r>
          </w:p>
        </w:tc>
      </w:tr>
      <w:tr w14:paraId="660B7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shd w:val="clear" w:color="auto" w:fill="auto"/>
            <w:vAlign w:val="center"/>
          </w:tcPr>
          <w:p w14:paraId="5FCC5BD6">
            <w:pPr>
              <w:pStyle w:val="11"/>
              <w:jc w:val="center"/>
              <w:rPr>
                <w:rFonts w:hint="eastAsia" w:asciiTheme="minorHAnsi" w:hAnsiTheme="minorHAnsi" w:eastAsiaTheme="minorEastAsia" w:cstheme="minorBidi"/>
                <w:color w:val="auto"/>
                <w:sz w:val="24"/>
                <w:szCs w:val="24"/>
                <w:highlight w:val="none"/>
                <w:lang w:val="en-US" w:eastAsia="zh-Hans"/>
              </w:rPr>
            </w:pPr>
            <w:r>
              <w:rPr>
                <w:rFonts w:ascii="仿宋_GB2312" w:hAnsi="仿宋_GB2312" w:eastAsia="仿宋_GB2312" w:cs="仿宋_GB2312"/>
                <w:color w:val="auto"/>
                <w:sz w:val="24"/>
                <w:szCs w:val="24"/>
                <w:highlight w:val="none"/>
              </w:rPr>
              <w:t>1-14</w:t>
            </w:r>
          </w:p>
        </w:tc>
        <w:tc>
          <w:tcPr>
            <w:tcW w:w="821" w:type="dxa"/>
            <w:shd w:val="clear" w:color="auto" w:fill="auto"/>
            <w:vAlign w:val="center"/>
          </w:tcPr>
          <w:p w14:paraId="6073E6E9">
            <w:pPr>
              <w:keepNext w:val="0"/>
              <w:keepLines w:val="0"/>
              <w:widowControl/>
              <w:suppressLineNumbers w:val="0"/>
              <w:jc w:val="center"/>
              <w:textAlignment w:val="center"/>
              <w:rPr>
                <w:rFonts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2E176403">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72" w:type="dxa"/>
            <w:vAlign w:val="top"/>
          </w:tcPr>
          <w:p w14:paraId="17840839">
            <w:pPr>
              <w:keepNext w:val="0"/>
              <w:keepLines w:val="0"/>
              <w:widowControl/>
              <w:suppressLineNumbers w:val="0"/>
              <w:jc w:val="left"/>
              <w:textAlignment w:val="top"/>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根据供应商拟投入本项目的</w:t>
            </w:r>
            <w:r>
              <w:rPr>
                <w:rFonts w:hint="eastAsia" w:ascii="宋体" w:hAnsi="宋体" w:eastAsia="宋体" w:cs="宋体"/>
                <w:color w:val="auto"/>
                <w:sz w:val="24"/>
                <w:szCs w:val="24"/>
                <w:highlight w:val="none"/>
              </w:rPr>
              <w:t>项目负责人资质能力进行评价：</w:t>
            </w:r>
            <w:r>
              <w:rPr>
                <w:rFonts w:hint="eastAsia" w:ascii="宋体" w:hAnsi="宋体" w:eastAsia="宋体" w:cs="宋体"/>
                <w:i w:val="0"/>
                <w:iCs w:val="0"/>
                <w:color w:val="auto"/>
                <w:kern w:val="0"/>
                <w:sz w:val="24"/>
                <w:szCs w:val="24"/>
                <w:highlight w:val="none"/>
                <w:u w:val="none"/>
                <w:lang w:val="en-US" w:eastAsia="zh-CN" w:bidi="ar"/>
              </w:rPr>
              <w:t>①</w:t>
            </w:r>
            <w:r>
              <w:rPr>
                <w:rFonts w:hint="eastAsia" w:ascii="宋体" w:hAnsi="宋体" w:eastAsia="宋体" w:cs="宋体"/>
                <w:color w:val="auto"/>
                <w:sz w:val="24"/>
                <w:szCs w:val="24"/>
                <w:highlight w:val="none"/>
              </w:rPr>
              <w:t>具有本科及以上学历</w:t>
            </w:r>
            <w:r>
              <w:rPr>
                <w:rFonts w:hint="eastAsia" w:ascii="宋体" w:hAnsi="宋体" w:eastAsia="宋体" w:cs="宋体"/>
                <w:color w:val="auto"/>
                <w:sz w:val="24"/>
                <w:szCs w:val="24"/>
                <w:highlight w:val="none"/>
                <w:lang w:eastAsia="zh-CN"/>
              </w:rPr>
              <w:t>、年龄＜40周岁，</w:t>
            </w:r>
            <w:r>
              <w:rPr>
                <w:rFonts w:hint="eastAsia" w:ascii="宋体" w:hAnsi="宋体" w:eastAsia="宋体" w:cs="宋体"/>
                <w:color w:val="auto"/>
                <w:sz w:val="24"/>
                <w:szCs w:val="24"/>
                <w:highlight w:val="none"/>
                <w:lang w:val="en-US" w:eastAsia="zh-CN"/>
              </w:rPr>
              <w:t>且</w:t>
            </w:r>
            <w:r>
              <w:rPr>
                <w:rFonts w:hint="eastAsia" w:ascii="宋体" w:hAnsi="宋体" w:eastAsia="宋体" w:cs="宋体"/>
                <w:i w:val="0"/>
                <w:iCs w:val="0"/>
                <w:color w:val="auto"/>
                <w:kern w:val="0"/>
                <w:sz w:val="24"/>
                <w:szCs w:val="24"/>
                <w:highlight w:val="none"/>
                <w:u w:val="none"/>
                <w:lang w:val="en-US" w:eastAsia="zh-CN" w:bidi="ar"/>
              </w:rPr>
              <w:t>具有政府部门颁发的环境相关专业中级及以上职称的得3.0分、②</w:t>
            </w:r>
            <w:r>
              <w:rPr>
                <w:rFonts w:hint="eastAsia" w:ascii="宋体" w:hAnsi="宋体" w:eastAsia="宋体" w:cs="宋体"/>
                <w:color w:val="auto"/>
                <w:sz w:val="24"/>
                <w:szCs w:val="24"/>
                <w:highlight w:val="none"/>
              </w:rPr>
              <w:t>具有本科及以上学历</w:t>
            </w:r>
            <w:r>
              <w:rPr>
                <w:rFonts w:hint="eastAsia" w:ascii="宋体" w:hAnsi="宋体" w:eastAsia="宋体" w:cs="宋体"/>
                <w:color w:val="auto"/>
                <w:sz w:val="24"/>
                <w:szCs w:val="24"/>
                <w:highlight w:val="none"/>
                <w:lang w:eastAsia="zh-CN"/>
              </w:rPr>
              <w:t>、年龄＜40周岁，</w:t>
            </w:r>
            <w:r>
              <w:rPr>
                <w:rFonts w:hint="eastAsia" w:ascii="宋体" w:hAnsi="宋体" w:eastAsia="宋体" w:cs="宋体"/>
                <w:color w:val="auto"/>
                <w:sz w:val="24"/>
                <w:szCs w:val="24"/>
                <w:highlight w:val="none"/>
                <w:lang w:val="en-US" w:eastAsia="zh-CN"/>
              </w:rPr>
              <w:t>且</w:t>
            </w:r>
            <w:r>
              <w:rPr>
                <w:rFonts w:hint="eastAsia" w:ascii="宋体" w:hAnsi="宋体" w:eastAsia="宋体" w:cs="宋体"/>
                <w:i w:val="0"/>
                <w:iCs w:val="0"/>
                <w:color w:val="auto"/>
                <w:kern w:val="0"/>
                <w:sz w:val="24"/>
                <w:szCs w:val="24"/>
                <w:highlight w:val="none"/>
                <w:u w:val="none"/>
                <w:lang w:val="en-US" w:eastAsia="zh-CN" w:bidi="ar"/>
              </w:rPr>
              <w:t>具有政府部门颁发的环境相关专业初级职称的得1.5分，未提供的不得分。 注：①项目该人员身份证扫描件和</w:t>
            </w:r>
            <w:r>
              <w:rPr>
                <w:rFonts w:hint="eastAsia" w:ascii="宋体" w:hAnsi="宋体" w:eastAsia="宋体" w:cs="宋体"/>
                <w:color w:val="auto"/>
                <w:sz w:val="24"/>
                <w:szCs w:val="24"/>
                <w:highlight w:val="none"/>
              </w:rPr>
              <w:t>毕业证书</w:t>
            </w:r>
            <w:r>
              <w:rPr>
                <w:rFonts w:hint="eastAsia" w:ascii="宋体" w:hAnsi="宋体" w:eastAsia="宋体" w:cs="宋体"/>
                <w:i w:val="0"/>
                <w:iCs w:val="0"/>
                <w:color w:val="auto"/>
                <w:kern w:val="0"/>
                <w:sz w:val="24"/>
                <w:szCs w:val="24"/>
                <w:highlight w:val="none"/>
                <w:u w:val="none"/>
                <w:lang w:val="en-US" w:eastAsia="zh-CN" w:bidi="ar"/>
              </w:rPr>
              <w:t xml:space="preserve">扫描件；②供应商须提供相关职称证书扫描件；③投标截止时间前六个月（不含投标截止时间的当月）中任一月份（投标截止当月新成立的企业，尚未缴纳社保的，提供说明，视为社保资料符合要求）供应商为该人员缴纳社会保险费的证明材料。备注：同一人员不重复评分。 </w:t>
            </w:r>
          </w:p>
        </w:tc>
      </w:tr>
      <w:tr w14:paraId="7A24A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shd w:val="clear" w:color="auto" w:fill="auto"/>
            <w:vAlign w:val="center"/>
          </w:tcPr>
          <w:p w14:paraId="21710C40">
            <w:pPr>
              <w:pStyle w:val="11"/>
              <w:jc w:val="center"/>
              <w:rPr>
                <w:rFonts w:hint="eastAsia" w:asciiTheme="minorHAnsi" w:hAnsiTheme="minorHAnsi" w:eastAsiaTheme="minorEastAsia" w:cstheme="minorBidi"/>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CN"/>
              </w:rPr>
              <w:t>1-15</w:t>
            </w:r>
          </w:p>
        </w:tc>
        <w:tc>
          <w:tcPr>
            <w:tcW w:w="821" w:type="dxa"/>
            <w:shd w:val="clear" w:color="auto" w:fill="auto"/>
            <w:vAlign w:val="center"/>
          </w:tcPr>
          <w:p w14:paraId="7B641BD0">
            <w:pPr>
              <w:keepNext w:val="0"/>
              <w:keepLines w:val="0"/>
              <w:widowControl/>
              <w:suppressLineNumbers w:val="0"/>
              <w:jc w:val="center"/>
              <w:textAlignment w:val="center"/>
              <w:rPr>
                <w:rFonts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4B3ADC86">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72" w:type="dxa"/>
            <w:vAlign w:val="top"/>
          </w:tcPr>
          <w:p w14:paraId="3E817300">
            <w:pPr>
              <w:keepNext w:val="0"/>
              <w:keepLines w:val="0"/>
              <w:widowControl/>
              <w:suppressLineNumbers w:val="0"/>
              <w:jc w:val="left"/>
              <w:textAlignment w:val="top"/>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供应商</w:t>
            </w:r>
            <w:r>
              <w:rPr>
                <w:rFonts w:hint="eastAsia" w:ascii="宋体" w:hAnsi="宋体" w:eastAsia="宋体" w:cs="宋体"/>
                <w:color w:val="auto"/>
                <w:sz w:val="24"/>
                <w:szCs w:val="24"/>
                <w:highlight w:val="none"/>
              </w:rPr>
              <w:t>拟投入的项目经理担任过类似村居或社区保洁项目经理经验的得3分。</w:t>
            </w:r>
            <w:r>
              <w:rPr>
                <w:rFonts w:hint="eastAsia" w:ascii="宋体" w:hAnsi="宋体" w:eastAsia="宋体" w:cs="宋体"/>
                <w:i w:val="0"/>
                <w:iCs w:val="0"/>
                <w:color w:val="auto"/>
                <w:kern w:val="0"/>
                <w:sz w:val="24"/>
                <w:szCs w:val="24"/>
                <w:highlight w:val="none"/>
                <w:u w:val="none"/>
                <w:lang w:val="en-US" w:eastAsia="zh-CN" w:bidi="ar"/>
              </w:rPr>
              <w:t>供应商</w:t>
            </w:r>
            <w:r>
              <w:rPr>
                <w:rFonts w:hint="eastAsia" w:ascii="宋体" w:hAnsi="宋体" w:eastAsia="宋体" w:cs="宋体"/>
                <w:color w:val="auto"/>
                <w:sz w:val="24"/>
                <w:szCs w:val="24"/>
                <w:highlight w:val="none"/>
              </w:rPr>
              <w:t>须提供拟投入项目经理担任过类似项目经理的项目合同（若合同未体现项目经理名字，则须提供业主证明材料，且证明材料均须标明项目经理以及项目经理姓名），否则不得分。 注：项目经理须与1-1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的项目经理应为同一人，否则不得分。</w:t>
            </w:r>
          </w:p>
        </w:tc>
      </w:tr>
      <w:tr w14:paraId="29A69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shd w:val="clear" w:color="auto" w:fill="auto"/>
            <w:vAlign w:val="center"/>
          </w:tcPr>
          <w:p w14:paraId="2C38C05E">
            <w:pPr>
              <w:pStyle w:val="11"/>
              <w:jc w:val="center"/>
              <w:rPr>
                <w:rFonts w:hint="default" w:asciiTheme="minorHAnsi" w:hAnsiTheme="minorHAnsi" w:eastAsiaTheme="minorEastAsia" w:cstheme="minorBidi"/>
                <w:color w:val="auto"/>
                <w:sz w:val="24"/>
                <w:szCs w:val="24"/>
                <w:highlight w:val="none"/>
                <w:lang w:val="en-US" w:eastAsia="zh-CN"/>
              </w:rPr>
            </w:pPr>
            <w:r>
              <w:rPr>
                <w:rFonts w:ascii="仿宋_GB2312" w:hAnsi="仿宋_GB2312" w:eastAsia="仿宋_GB2312" w:cs="仿宋_GB2312"/>
                <w:color w:val="auto"/>
                <w:sz w:val="24"/>
                <w:szCs w:val="24"/>
                <w:highlight w:val="none"/>
              </w:rPr>
              <w:t>1-16</w:t>
            </w:r>
          </w:p>
        </w:tc>
        <w:tc>
          <w:tcPr>
            <w:tcW w:w="821" w:type="dxa"/>
            <w:shd w:val="clear" w:color="auto" w:fill="auto"/>
            <w:vAlign w:val="center"/>
          </w:tcPr>
          <w:p w14:paraId="76B38019">
            <w:pPr>
              <w:keepNext w:val="0"/>
              <w:keepLines w:val="0"/>
              <w:widowControl/>
              <w:suppressLineNumbers w:val="0"/>
              <w:jc w:val="center"/>
              <w:textAlignment w:val="center"/>
              <w:rPr>
                <w:rFonts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5B7E03DF">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72" w:type="dxa"/>
            <w:vAlign w:val="center"/>
          </w:tcPr>
          <w:p w14:paraId="2F9330A0">
            <w:pPr>
              <w:keepNext w:val="0"/>
              <w:keepLines w:val="0"/>
              <w:widowControl/>
              <w:suppressLineNumbers w:val="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投标人拟投入本项目的</w:t>
            </w:r>
            <w:r>
              <w:rPr>
                <w:rFonts w:hint="eastAsia" w:ascii="宋体" w:hAnsi="宋体" w:eastAsia="宋体" w:cs="宋体"/>
                <w:color w:val="auto"/>
                <w:sz w:val="24"/>
                <w:szCs w:val="24"/>
                <w:highlight w:val="none"/>
                <w:lang w:eastAsia="zh-CN"/>
              </w:rPr>
              <w:t>管理人</w:t>
            </w:r>
            <w:r>
              <w:rPr>
                <w:rFonts w:hint="eastAsia" w:ascii="宋体" w:hAnsi="宋体" w:eastAsia="宋体" w:cs="宋体"/>
                <w:color w:val="auto"/>
                <w:sz w:val="24"/>
                <w:szCs w:val="24"/>
                <w:highlight w:val="none"/>
              </w:rPr>
              <w:t>员持有</w:t>
            </w:r>
            <w:r>
              <w:rPr>
                <w:rFonts w:hint="eastAsia" w:ascii="宋体" w:hAnsi="宋体" w:eastAsia="宋体" w:cs="宋体"/>
                <w:color w:val="auto"/>
                <w:sz w:val="24"/>
                <w:szCs w:val="24"/>
                <w:highlight w:val="none"/>
                <w:lang w:eastAsia="zh-CN"/>
              </w:rPr>
              <w:t>保洁员证书</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rPr>
              <w:t xml:space="preserve"> 注：</w:t>
            </w:r>
            <w:r>
              <w:rPr>
                <w:rFonts w:hint="eastAsia" w:ascii="宋体" w:hAnsi="宋体" w:eastAsia="宋体" w:cs="宋体"/>
                <w:color w:val="auto"/>
                <w:sz w:val="24"/>
                <w:szCs w:val="24"/>
                <w:highlight w:val="none"/>
                <w:lang w:val="en-US" w:eastAsia="zh-CN"/>
              </w:rPr>
              <w:t>需提供：</w:t>
            </w:r>
            <w:r>
              <w:rPr>
                <w:rFonts w:hint="eastAsia" w:ascii="宋体" w:hAnsi="宋体" w:eastAsia="宋体" w:cs="宋体"/>
                <w:color w:val="auto"/>
                <w:sz w:val="24"/>
                <w:szCs w:val="24"/>
                <w:highlight w:val="none"/>
              </w:rPr>
              <w:t>①项目该人员身份证</w:t>
            </w:r>
            <w:r>
              <w:rPr>
                <w:rFonts w:hint="eastAsia" w:ascii="宋体" w:hAnsi="宋体" w:eastAsia="宋体" w:cs="宋体"/>
                <w:i w:val="0"/>
                <w:iCs w:val="0"/>
                <w:color w:val="auto"/>
                <w:kern w:val="0"/>
                <w:sz w:val="24"/>
                <w:szCs w:val="24"/>
                <w:highlight w:val="none"/>
                <w:u w:val="none"/>
                <w:lang w:val="en-US" w:eastAsia="zh-CN" w:bidi="ar"/>
              </w:rPr>
              <w:t>扫描件</w:t>
            </w:r>
            <w:r>
              <w:rPr>
                <w:rFonts w:hint="eastAsia" w:ascii="宋体" w:hAnsi="宋体" w:eastAsia="宋体" w:cs="宋体"/>
                <w:color w:val="auto"/>
                <w:sz w:val="24"/>
                <w:szCs w:val="24"/>
                <w:highlight w:val="none"/>
                <w:lang w:eastAsia="zh-CN"/>
              </w:rPr>
              <w:t>及岗位证书</w:t>
            </w:r>
            <w:r>
              <w:rPr>
                <w:rFonts w:hint="eastAsia" w:ascii="宋体" w:hAnsi="宋体" w:eastAsia="宋体" w:cs="宋体"/>
                <w:i w:val="0"/>
                <w:iCs w:val="0"/>
                <w:color w:val="auto"/>
                <w:kern w:val="0"/>
                <w:sz w:val="24"/>
                <w:szCs w:val="24"/>
                <w:highlight w:val="none"/>
                <w:u w:val="none"/>
                <w:lang w:val="en-US" w:eastAsia="zh-CN" w:bidi="ar"/>
              </w:rPr>
              <w:t>扫描件</w:t>
            </w:r>
            <w:r>
              <w:rPr>
                <w:rFonts w:hint="eastAsia" w:ascii="宋体" w:hAnsi="宋体" w:eastAsia="宋体" w:cs="宋体"/>
                <w:color w:val="auto"/>
                <w:sz w:val="24"/>
                <w:szCs w:val="24"/>
                <w:highlight w:val="none"/>
              </w:rPr>
              <w:t>；②通过“技能人才评价证书全国联网查询”系统（网址：zscx.osta.org.cn）或人社部门所属职业技能鉴定指导中心官网系统的查询截图</w:t>
            </w:r>
            <w:r>
              <w:rPr>
                <w:rFonts w:hint="eastAsia" w:ascii="宋体" w:hAnsi="宋体" w:eastAsia="宋体" w:cs="宋体"/>
                <w:color w:val="auto"/>
                <w:sz w:val="24"/>
                <w:szCs w:val="24"/>
                <w:highlight w:val="none"/>
                <w:lang w:eastAsia="zh-CN"/>
              </w:rPr>
              <w:t>，未能查询网站的提供承诺证明中标后提供查询截图；</w:t>
            </w:r>
            <w:r>
              <w:rPr>
                <w:rFonts w:hint="eastAsia" w:ascii="宋体" w:hAnsi="宋体" w:eastAsia="宋体" w:cs="宋体"/>
                <w:color w:val="auto"/>
                <w:sz w:val="24"/>
                <w:szCs w:val="24"/>
                <w:highlight w:val="none"/>
              </w:rPr>
              <w:t>③投标截止时间前六个月（不含投标截止时间的当月）中任一月份（投标截止当月新成立的企业，尚未缴纳社保的，提供说明，视为社保资料符合要求）投标人为该人员缴纳社会保险费的证明材料</w:t>
            </w:r>
            <w:r>
              <w:rPr>
                <w:rFonts w:hint="eastAsia" w:ascii="宋体" w:hAnsi="宋体" w:eastAsia="宋体" w:cs="宋体"/>
                <w:color w:val="auto"/>
                <w:sz w:val="24"/>
                <w:szCs w:val="24"/>
                <w:highlight w:val="none"/>
                <w:lang w:eastAsia="zh-CN"/>
              </w:rPr>
              <w:t>。</w:t>
            </w:r>
          </w:p>
        </w:tc>
      </w:tr>
      <w:tr w14:paraId="266D1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090E04BA">
            <w:pPr>
              <w:pStyle w:val="11"/>
              <w:jc w:val="center"/>
              <w:rPr>
                <w:color w:val="auto"/>
                <w:sz w:val="24"/>
                <w:szCs w:val="24"/>
                <w:highlight w:val="none"/>
              </w:rPr>
            </w:pPr>
            <w:r>
              <w:rPr>
                <w:rFonts w:ascii="仿宋_GB2312" w:hAnsi="仿宋_GB2312" w:eastAsia="仿宋_GB2312" w:cs="仿宋_GB2312"/>
                <w:color w:val="auto"/>
                <w:sz w:val="24"/>
                <w:szCs w:val="24"/>
                <w:highlight w:val="none"/>
              </w:rPr>
              <w:t>1-17</w:t>
            </w:r>
          </w:p>
        </w:tc>
        <w:tc>
          <w:tcPr>
            <w:tcW w:w="821" w:type="dxa"/>
            <w:vAlign w:val="center"/>
          </w:tcPr>
          <w:p w14:paraId="556BDD15">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5C56A2E9">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72" w:type="dxa"/>
            <w:vAlign w:val="top"/>
          </w:tcPr>
          <w:p w14:paraId="6B83A09C">
            <w:pPr>
              <w:keepNext w:val="0"/>
              <w:keepLines w:val="0"/>
              <w:widowControl/>
              <w:suppressLineNumbers w:val="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根据投标人拟投入本项目的</w:t>
            </w:r>
            <w:r>
              <w:rPr>
                <w:rFonts w:hint="eastAsia" w:ascii="宋体" w:hAnsi="宋体" w:eastAsia="宋体" w:cs="宋体"/>
                <w:color w:val="auto"/>
                <w:sz w:val="24"/>
                <w:szCs w:val="24"/>
                <w:highlight w:val="none"/>
                <w:lang w:eastAsia="zh-CN"/>
              </w:rPr>
              <w:t>管理人</w:t>
            </w:r>
            <w:r>
              <w:rPr>
                <w:rFonts w:hint="eastAsia" w:ascii="宋体" w:hAnsi="宋体" w:eastAsia="宋体" w:cs="宋体"/>
                <w:color w:val="auto"/>
                <w:sz w:val="24"/>
                <w:szCs w:val="24"/>
                <w:highlight w:val="none"/>
              </w:rPr>
              <w:t>员持有</w:t>
            </w:r>
            <w:r>
              <w:rPr>
                <w:rFonts w:hint="eastAsia" w:ascii="宋体" w:hAnsi="宋体" w:eastAsia="宋体" w:cs="宋体"/>
                <w:color w:val="auto"/>
                <w:sz w:val="24"/>
                <w:szCs w:val="24"/>
                <w:highlight w:val="none"/>
                <w:lang w:eastAsia="zh-CN"/>
              </w:rPr>
              <w:t>政府部门颁发的注册安全工程师</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（专业：其他安全）</w:t>
            </w:r>
            <w:r>
              <w:rPr>
                <w:rFonts w:hint="eastAsia" w:ascii="宋体" w:hAnsi="宋体" w:eastAsia="宋体" w:cs="宋体"/>
                <w:color w:val="auto"/>
                <w:sz w:val="24"/>
                <w:szCs w:val="24"/>
                <w:highlight w:val="none"/>
              </w:rPr>
              <w:t>得3分。 注：</w:t>
            </w:r>
            <w:r>
              <w:rPr>
                <w:rFonts w:hint="eastAsia" w:ascii="宋体" w:hAnsi="宋体" w:eastAsia="宋体" w:cs="宋体"/>
                <w:color w:val="auto"/>
                <w:sz w:val="24"/>
                <w:szCs w:val="24"/>
                <w:highlight w:val="none"/>
                <w:lang w:val="en-US" w:eastAsia="zh-CN"/>
              </w:rPr>
              <w:t>需提供</w:t>
            </w:r>
            <w:r>
              <w:rPr>
                <w:rFonts w:hint="eastAsia" w:ascii="宋体" w:hAnsi="宋体" w:eastAsia="宋体" w:cs="宋体"/>
                <w:color w:val="auto"/>
                <w:sz w:val="24"/>
                <w:szCs w:val="24"/>
                <w:highlight w:val="none"/>
              </w:rPr>
              <w:t>①项目该人员身份证</w:t>
            </w:r>
            <w:r>
              <w:rPr>
                <w:rFonts w:hint="eastAsia" w:ascii="宋体" w:hAnsi="宋体" w:eastAsia="宋体" w:cs="宋体"/>
                <w:i w:val="0"/>
                <w:iCs w:val="0"/>
                <w:color w:val="auto"/>
                <w:kern w:val="0"/>
                <w:sz w:val="24"/>
                <w:szCs w:val="24"/>
                <w:highlight w:val="none"/>
                <w:u w:val="none"/>
                <w:lang w:val="en-US" w:eastAsia="zh-CN" w:bidi="ar"/>
              </w:rPr>
              <w:t>扫描件</w:t>
            </w:r>
            <w:r>
              <w:rPr>
                <w:rFonts w:hint="eastAsia" w:ascii="宋体" w:hAnsi="宋体" w:eastAsia="宋体" w:cs="宋体"/>
                <w:color w:val="auto"/>
                <w:sz w:val="24"/>
                <w:szCs w:val="24"/>
                <w:highlight w:val="none"/>
              </w:rPr>
              <w:t>；②人员相关有效证书</w:t>
            </w:r>
            <w:r>
              <w:rPr>
                <w:rFonts w:hint="eastAsia" w:ascii="宋体" w:hAnsi="宋体" w:eastAsia="宋体" w:cs="宋体"/>
                <w:i w:val="0"/>
                <w:iCs w:val="0"/>
                <w:color w:val="auto"/>
                <w:kern w:val="0"/>
                <w:sz w:val="24"/>
                <w:szCs w:val="24"/>
                <w:highlight w:val="none"/>
                <w:u w:val="none"/>
                <w:lang w:val="en-US" w:eastAsia="zh-CN" w:bidi="ar"/>
              </w:rPr>
              <w:t>扫描件</w:t>
            </w:r>
            <w:r>
              <w:rPr>
                <w:rFonts w:hint="eastAsia" w:ascii="宋体" w:hAnsi="宋体" w:eastAsia="宋体" w:cs="宋体"/>
                <w:color w:val="auto"/>
                <w:sz w:val="24"/>
                <w:szCs w:val="24"/>
                <w:highlight w:val="none"/>
              </w:rPr>
              <w:t>；③投标截止时间前六个月（不含投标截止时间的当月）中任一月份（投标截止当月新成立的企业，尚未缴纳社保的，提供说明，视为社保资料符合要求）投标人为该人员缴纳社会保险费的证明材料</w:t>
            </w:r>
            <w:r>
              <w:rPr>
                <w:rFonts w:hint="eastAsia" w:ascii="宋体" w:hAnsi="宋体" w:eastAsia="宋体" w:cs="宋体"/>
                <w:color w:val="auto"/>
                <w:sz w:val="24"/>
                <w:szCs w:val="24"/>
                <w:highlight w:val="none"/>
                <w:lang w:eastAsia="zh-CN"/>
              </w:rPr>
              <w:t>。</w:t>
            </w:r>
          </w:p>
        </w:tc>
      </w:tr>
      <w:tr w14:paraId="243C8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7EA51B90">
            <w:pPr>
              <w:pStyle w:val="11"/>
              <w:jc w:val="center"/>
              <w:rPr>
                <w:color w:val="auto"/>
                <w:sz w:val="24"/>
                <w:szCs w:val="24"/>
                <w:highlight w:val="none"/>
              </w:rPr>
            </w:pPr>
            <w:r>
              <w:rPr>
                <w:rFonts w:ascii="仿宋_GB2312" w:hAnsi="仿宋_GB2312" w:eastAsia="仿宋_GB2312" w:cs="仿宋_GB2312"/>
                <w:color w:val="auto"/>
                <w:sz w:val="24"/>
                <w:szCs w:val="24"/>
                <w:highlight w:val="none"/>
              </w:rPr>
              <w:t>1-18</w:t>
            </w:r>
          </w:p>
        </w:tc>
        <w:tc>
          <w:tcPr>
            <w:tcW w:w="821" w:type="dxa"/>
            <w:vAlign w:val="center"/>
          </w:tcPr>
          <w:p w14:paraId="04AFAF55">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5862DDE1">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72" w:type="dxa"/>
            <w:vAlign w:val="top"/>
          </w:tcPr>
          <w:p w14:paraId="49B69B1B">
            <w:pPr>
              <w:keepNext w:val="0"/>
              <w:keepLines w:val="0"/>
              <w:widowControl/>
              <w:suppressLineNumbers w:val="0"/>
              <w:jc w:val="left"/>
              <w:textAlignment w:val="top"/>
              <w:rPr>
                <w:rFonts w:hint="eastAsia" w:ascii="宋体" w:hAnsi="宋体" w:eastAsia="宋体" w:cs="宋体"/>
                <w:color w:val="auto"/>
                <w:sz w:val="24"/>
                <w:szCs w:val="24"/>
                <w:highlight w:val="none"/>
              </w:rPr>
            </w:pPr>
            <w:r>
              <w:rPr>
                <w:rStyle w:val="17"/>
                <w:rFonts w:hint="eastAsia" w:ascii="宋体" w:hAnsi="宋体" w:eastAsia="宋体" w:cs="宋体"/>
                <w:color w:val="auto"/>
                <w:highlight w:val="none"/>
                <w:lang w:val="en-US" w:eastAsia="zh-CN" w:bidi="ar"/>
              </w:rPr>
              <w:t>供应商承诺能保持拟派上岗人员的稳定性，不随意调整上岗人员，确需调整的须经采购人同意的得</w:t>
            </w:r>
            <w:r>
              <w:rPr>
                <w:rStyle w:val="18"/>
                <w:rFonts w:hint="eastAsia" w:ascii="宋体" w:hAnsi="宋体" w:eastAsia="宋体" w:cs="宋体"/>
                <w:color w:val="auto"/>
                <w:highlight w:val="none"/>
                <w:lang w:val="en-US" w:eastAsia="zh-CN" w:bidi="ar"/>
              </w:rPr>
              <w:t>3</w:t>
            </w:r>
            <w:r>
              <w:rPr>
                <w:rStyle w:val="17"/>
                <w:rFonts w:hint="eastAsia" w:ascii="宋体" w:hAnsi="宋体" w:eastAsia="宋体" w:cs="宋体"/>
                <w:color w:val="auto"/>
                <w:highlight w:val="none"/>
                <w:lang w:val="en-US" w:eastAsia="zh-CN" w:bidi="ar"/>
              </w:rPr>
              <w:t>分，须提供书面承诺函（格式自拟），否则不得分。</w:t>
            </w:r>
          </w:p>
        </w:tc>
      </w:tr>
      <w:tr w14:paraId="77273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3D41938F">
            <w:pPr>
              <w:pStyle w:val="11"/>
              <w:jc w:val="center"/>
              <w:rPr>
                <w:color w:val="auto"/>
                <w:sz w:val="24"/>
                <w:szCs w:val="24"/>
                <w:highlight w:val="none"/>
              </w:rPr>
            </w:pPr>
            <w:r>
              <w:rPr>
                <w:rFonts w:ascii="仿宋_GB2312" w:hAnsi="仿宋_GB2312" w:eastAsia="仿宋_GB2312" w:cs="仿宋_GB2312"/>
                <w:color w:val="auto"/>
                <w:sz w:val="24"/>
                <w:szCs w:val="24"/>
                <w:highlight w:val="none"/>
              </w:rPr>
              <w:t>1-19</w:t>
            </w:r>
          </w:p>
        </w:tc>
        <w:tc>
          <w:tcPr>
            <w:tcW w:w="821" w:type="dxa"/>
            <w:vAlign w:val="center"/>
          </w:tcPr>
          <w:p w14:paraId="24FE8AED">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22DADDA5">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72" w:type="dxa"/>
            <w:vAlign w:val="center"/>
          </w:tcPr>
          <w:p w14:paraId="483277BA">
            <w:pPr>
              <w:keepNext w:val="0"/>
              <w:keepLines w:val="0"/>
              <w:widowControl/>
              <w:suppressLineNumbers w:val="0"/>
              <w:jc w:val="left"/>
              <w:textAlignment w:val="center"/>
              <w:rPr>
                <w:rFonts w:hint="eastAsia" w:ascii="宋体" w:hAnsi="宋体" w:eastAsia="宋体" w:cs="宋体"/>
                <w:color w:val="auto"/>
                <w:sz w:val="24"/>
                <w:szCs w:val="24"/>
                <w:highlight w:val="none"/>
              </w:rPr>
            </w:pPr>
            <w:r>
              <w:rPr>
                <w:rStyle w:val="17"/>
                <w:rFonts w:hint="eastAsia" w:ascii="宋体" w:hAnsi="宋体" w:eastAsia="宋体" w:cs="宋体"/>
                <w:color w:val="auto"/>
                <w:highlight w:val="none"/>
                <w:lang w:val="en-US" w:eastAsia="zh-CN" w:bidi="ar"/>
              </w:rPr>
              <w:t>根据供应商承诺的对现场响应的处理能力进行评价：供应商接到采购人通知后，在</w:t>
            </w:r>
            <w:r>
              <w:rPr>
                <w:rStyle w:val="18"/>
                <w:rFonts w:hint="eastAsia" w:ascii="宋体" w:hAnsi="宋体" w:eastAsia="宋体" w:cs="宋体"/>
                <w:color w:val="auto"/>
                <w:highlight w:val="none"/>
                <w:lang w:val="en-US" w:eastAsia="zh-CN" w:bidi="ar"/>
              </w:rPr>
              <w:t>30</w:t>
            </w:r>
            <w:r>
              <w:rPr>
                <w:rStyle w:val="17"/>
                <w:rFonts w:hint="eastAsia" w:ascii="宋体" w:hAnsi="宋体" w:eastAsia="宋体" w:cs="宋体"/>
                <w:color w:val="auto"/>
                <w:highlight w:val="none"/>
                <w:lang w:val="en-US" w:eastAsia="zh-CN" w:bidi="ar"/>
              </w:rPr>
              <w:t>分钟（含）内能够到达现场处理并达到采购人要求的得</w:t>
            </w:r>
            <w:r>
              <w:rPr>
                <w:rStyle w:val="18"/>
                <w:rFonts w:hint="eastAsia" w:ascii="宋体" w:hAnsi="宋体" w:eastAsia="宋体" w:cs="宋体"/>
                <w:color w:val="auto"/>
                <w:highlight w:val="none"/>
                <w:lang w:val="en-US" w:eastAsia="zh-CN" w:bidi="ar"/>
              </w:rPr>
              <w:t>3</w:t>
            </w:r>
            <w:r>
              <w:rPr>
                <w:rStyle w:val="17"/>
                <w:rFonts w:hint="eastAsia" w:ascii="宋体" w:hAnsi="宋体" w:eastAsia="宋体" w:cs="宋体"/>
                <w:color w:val="auto"/>
                <w:highlight w:val="none"/>
                <w:lang w:val="en-US" w:eastAsia="zh-CN" w:bidi="ar"/>
              </w:rPr>
              <w:t>分；在</w:t>
            </w:r>
            <w:r>
              <w:rPr>
                <w:rStyle w:val="18"/>
                <w:rFonts w:hint="eastAsia" w:ascii="宋体" w:hAnsi="宋体" w:eastAsia="宋体" w:cs="宋体"/>
                <w:color w:val="auto"/>
                <w:highlight w:val="none"/>
                <w:lang w:val="en-US" w:eastAsia="zh-CN" w:bidi="ar"/>
              </w:rPr>
              <w:t>60</w:t>
            </w:r>
            <w:r>
              <w:rPr>
                <w:rStyle w:val="17"/>
                <w:rFonts w:hint="eastAsia" w:ascii="宋体" w:hAnsi="宋体" w:eastAsia="宋体" w:cs="宋体"/>
                <w:color w:val="auto"/>
                <w:highlight w:val="none"/>
                <w:lang w:val="en-US" w:eastAsia="zh-CN" w:bidi="ar"/>
              </w:rPr>
              <w:t>分钟（含）以内到达现场处理并达到采购人要求的得</w:t>
            </w:r>
            <w:r>
              <w:rPr>
                <w:rStyle w:val="18"/>
                <w:rFonts w:hint="eastAsia" w:ascii="宋体" w:hAnsi="宋体" w:eastAsia="宋体" w:cs="宋体"/>
                <w:color w:val="auto"/>
                <w:highlight w:val="none"/>
                <w:lang w:val="en-US" w:eastAsia="zh-CN" w:bidi="ar"/>
              </w:rPr>
              <w:t>1.5</w:t>
            </w:r>
            <w:r>
              <w:rPr>
                <w:rStyle w:val="17"/>
                <w:rFonts w:hint="eastAsia" w:ascii="宋体" w:hAnsi="宋体" w:eastAsia="宋体" w:cs="宋体"/>
                <w:color w:val="auto"/>
                <w:highlight w:val="none"/>
                <w:lang w:val="en-US" w:eastAsia="zh-CN" w:bidi="ar"/>
              </w:rPr>
              <w:t>分。以供应商提供的书面承诺函（格式自拟）为评审依据，未提供书面承诺或书面承诺不完整的不得分。</w:t>
            </w:r>
          </w:p>
        </w:tc>
      </w:tr>
      <w:tr w14:paraId="4D2E0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4B915669">
            <w:pPr>
              <w:pStyle w:val="11"/>
              <w:jc w:val="center"/>
              <w:rPr>
                <w:color w:val="auto"/>
                <w:sz w:val="24"/>
                <w:szCs w:val="24"/>
                <w:highlight w:val="none"/>
              </w:rPr>
            </w:pPr>
            <w:r>
              <w:rPr>
                <w:rFonts w:ascii="仿宋_GB2312" w:hAnsi="仿宋_GB2312" w:eastAsia="仿宋_GB2312" w:cs="仿宋_GB2312"/>
                <w:color w:val="auto"/>
                <w:sz w:val="24"/>
                <w:szCs w:val="24"/>
                <w:highlight w:val="none"/>
              </w:rPr>
              <w:t>1-20</w:t>
            </w:r>
          </w:p>
        </w:tc>
        <w:tc>
          <w:tcPr>
            <w:tcW w:w="821" w:type="dxa"/>
            <w:vAlign w:val="center"/>
          </w:tcPr>
          <w:p w14:paraId="0EF2B82C">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7F123DBC">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72" w:type="dxa"/>
            <w:vAlign w:val="center"/>
          </w:tcPr>
          <w:p w14:paraId="6B23F390">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供应商拟投入本项目的1.5吨及以上压缩车配备情况：在满足项目基本需求上（基础为2辆），每额外增加1辆得1分，满分得3分。【须提供下列证明材料：①若车辆为自有的，须提供车辆行驶证及购置发票复印件；②若车辆为租赁的，须提供车辆行驶证及购置发票复印件、双方租赁合同（合同期需涵盖项目期间)、合同期内任意一次租金转账凭证及对应发票复印件及国家税务总局增值税发票查验平台上对该发票查验结果的截图。以上证明材料须在有效期内，未提供或提供材料不完整的不得分。】</w:t>
            </w:r>
          </w:p>
        </w:tc>
      </w:tr>
      <w:tr w14:paraId="5AE1E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6205EECE">
            <w:pPr>
              <w:pStyle w:val="11"/>
              <w:jc w:val="center"/>
              <w:rPr>
                <w:color w:val="auto"/>
                <w:sz w:val="24"/>
                <w:szCs w:val="24"/>
                <w:highlight w:val="none"/>
              </w:rPr>
            </w:pPr>
            <w:r>
              <w:rPr>
                <w:rFonts w:ascii="仿宋_GB2312" w:hAnsi="仿宋_GB2312" w:eastAsia="仿宋_GB2312" w:cs="仿宋_GB2312"/>
                <w:color w:val="auto"/>
                <w:sz w:val="24"/>
                <w:szCs w:val="24"/>
                <w:highlight w:val="none"/>
              </w:rPr>
              <w:t>1-21</w:t>
            </w:r>
          </w:p>
        </w:tc>
        <w:tc>
          <w:tcPr>
            <w:tcW w:w="821" w:type="dxa"/>
            <w:vAlign w:val="center"/>
          </w:tcPr>
          <w:p w14:paraId="1927626F">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93" w:type="dxa"/>
            <w:vAlign w:val="center"/>
          </w:tcPr>
          <w:p w14:paraId="367923C9">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72" w:type="dxa"/>
            <w:vAlign w:val="top"/>
          </w:tcPr>
          <w:p w14:paraId="1F362CDC">
            <w:pPr>
              <w:keepNext w:val="0"/>
              <w:keepLines w:val="0"/>
              <w:widowControl/>
              <w:suppressLineNumbers w:val="0"/>
              <w:jc w:val="left"/>
              <w:textAlignment w:val="top"/>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供应商承诺随时接受并积极配合采购人的过程考核的得3分，供应商提供书面承诺函（格式自拟）并加盖响应供应商公章，否则不得分。</w:t>
            </w:r>
          </w:p>
        </w:tc>
      </w:tr>
      <w:tr w14:paraId="38EB7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53018D34">
            <w:pPr>
              <w:pStyle w:val="11"/>
              <w:jc w:val="center"/>
              <w:rPr>
                <w:color w:val="auto"/>
                <w:sz w:val="24"/>
                <w:szCs w:val="24"/>
                <w:highlight w:val="none"/>
              </w:rPr>
            </w:pPr>
            <w:r>
              <w:rPr>
                <w:rFonts w:ascii="仿宋_GB2312" w:hAnsi="仿宋_GB2312" w:eastAsia="仿宋_GB2312" w:cs="仿宋_GB2312"/>
                <w:color w:val="auto"/>
                <w:sz w:val="24"/>
                <w:szCs w:val="24"/>
                <w:highlight w:val="none"/>
              </w:rPr>
              <w:t>1-22</w:t>
            </w:r>
          </w:p>
        </w:tc>
        <w:tc>
          <w:tcPr>
            <w:tcW w:w="821" w:type="dxa"/>
            <w:vAlign w:val="center"/>
          </w:tcPr>
          <w:p w14:paraId="0935F4D4">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93" w:type="dxa"/>
            <w:vAlign w:val="center"/>
          </w:tcPr>
          <w:p w14:paraId="6CEA02B6">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72" w:type="dxa"/>
            <w:vAlign w:val="top"/>
          </w:tcPr>
          <w:p w14:paraId="094E7503">
            <w:pPr>
              <w:keepNext w:val="0"/>
              <w:keepLines w:val="0"/>
              <w:widowControl/>
              <w:suppressLineNumbers w:val="0"/>
              <w:jc w:val="left"/>
              <w:textAlignment w:val="top"/>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供应商书面承诺：如若成交，严格按照国家、省市的有关政策执行，保护项目团队成员的合法权益，若国家、省市的相关政策有调整，则按最新的政策执行。团队成员人员待遇必须符合现行政策要求。提供书面承诺（格式自拟）的得2分，否则不得分。</w:t>
            </w:r>
          </w:p>
        </w:tc>
      </w:tr>
    </w:tbl>
    <w:p w14:paraId="08E9E7D5">
      <w:pPr>
        <w:pStyle w:val="11"/>
        <w:jc w:val="both"/>
        <w:rPr>
          <w:rFonts w:ascii="仿宋_GB2312" w:hAnsi="仿宋_GB2312" w:eastAsia="仿宋_GB2312" w:cs="仿宋_GB2312"/>
          <w:color w:val="auto"/>
          <w:sz w:val="24"/>
          <w:szCs w:val="24"/>
          <w:highlight w:val="none"/>
        </w:rPr>
      </w:pPr>
    </w:p>
    <w:p w14:paraId="40F44EA6">
      <w:pPr>
        <w:pStyle w:val="11"/>
        <w:jc w:val="both"/>
        <w:rPr>
          <w:color w:val="auto"/>
          <w:sz w:val="24"/>
          <w:szCs w:val="24"/>
          <w:highlight w:val="none"/>
        </w:rPr>
      </w:pPr>
      <w:r>
        <w:rPr>
          <w:rFonts w:ascii="仿宋_GB2312" w:hAnsi="仿宋_GB2312" w:eastAsia="仿宋_GB2312" w:cs="仿宋_GB2312"/>
          <w:color w:val="auto"/>
          <w:sz w:val="24"/>
          <w:szCs w:val="24"/>
          <w:highlight w:val="none"/>
        </w:rPr>
        <w:t>商务项（F3×A3）满分为25.0000分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6"/>
        <w:gridCol w:w="714"/>
        <w:gridCol w:w="938"/>
        <w:gridCol w:w="6069"/>
      </w:tblGrid>
      <w:tr w14:paraId="51084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Pr>
          <w:p w14:paraId="39232AA2">
            <w:pPr>
              <w:pStyle w:val="11"/>
              <w:jc w:val="both"/>
              <w:rPr>
                <w:color w:val="auto"/>
                <w:sz w:val="24"/>
                <w:szCs w:val="24"/>
                <w:highlight w:val="none"/>
              </w:rPr>
            </w:pPr>
            <w:r>
              <w:rPr>
                <w:rFonts w:ascii="仿宋_GB2312" w:hAnsi="仿宋_GB2312" w:eastAsia="仿宋_GB2312" w:cs="仿宋_GB2312"/>
                <w:color w:val="auto"/>
                <w:sz w:val="24"/>
                <w:szCs w:val="24"/>
                <w:highlight w:val="none"/>
              </w:rPr>
              <w:t>项目</w:t>
            </w:r>
          </w:p>
        </w:tc>
        <w:tc>
          <w:tcPr>
            <w:tcW w:w="714" w:type="dxa"/>
          </w:tcPr>
          <w:p w14:paraId="7FBA80BF">
            <w:pPr>
              <w:pStyle w:val="11"/>
              <w:jc w:val="both"/>
              <w:rPr>
                <w:color w:val="auto"/>
                <w:sz w:val="24"/>
                <w:szCs w:val="24"/>
                <w:highlight w:val="none"/>
              </w:rPr>
            </w:pPr>
            <w:r>
              <w:rPr>
                <w:rFonts w:ascii="仿宋_GB2312" w:hAnsi="仿宋_GB2312" w:eastAsia="仿宋_GB2312" w:cs="仿宋_GB2312"/>
                <w:color w:val="auto"/>
                <w:sz w:val="24"/>
                <w:szCs w:val="24"/>
                <w:highlight w:val="none"/>
              </w:rPr>
              <w:t>分值</w:t>
            </w:r>
          </w:p>
        </w:tc>
        <w:tc>
          <w:tcPr>
            <w:tcW w:w="938" w:type="dxa"/>
          </w:tcPr>
          <w:p w14:paraId="56B01A0C">
            <w:pPr>
              <w:pStyle w:val="11"/>
              <w:jc w:val="both"/>
              <w:rPr>
                <w:color w:val="auto"/>
                <w:sz w:val="24"/>
                <w:szCs w:val="24"/>
                <w:highlight w:val="none"/>
              </w:rPr>
            </w:pPr>
            <w:r>
              <w:rPr>
                <w:rFonts w:ascii="仿宋_GB2312" w:hAnsi="仿宋_GB2312" w:eastAsia="仿宋_GB2312" w:cs="仿宋_GB2312"/>
                <w:color w:val="auto"/>
                <w:sz w:val="24"/>
                <w:szCs w:val="24"/>
                <w:highlight w:val="none"/>
              </w:rPr>
              <w:t>是否客观项</w:t>
            </w:r>
          </w:p>
        </w:tc>
        <w:tc>
          <w:tcPr>
            <w:tcW w:w="6069" w:type="dxa"/>
          </w:tcPr>
          <w:p w14:paraId="7B585870">
            <w:pPr>
              <w:pStyle w:val="11"/>
              <w:jc w:val="both"/>
              <w:rPr>
                <w:color w:val="auto"/>
                <w:sz w:val="24"/>
                <w:szCs w:val="24"/>
                <w:highlight w:val="none"/>
              </w:rPr>
            </w:pPr>
            <w:r>
              <w:rPr>
                <w:rFonts w:ascii="仿宋_GB2312" w:hAnsi="仿宋_GB2312" w:eastAsia="仿宋_GB2312" w:cs="仿宋_GB2312"/>
                <w:color w:val="auto"/>
                <w:sz w:val="24"/>
                <w:szCs w:val="24"/>
                <w:highlight w:val="none"/>
              </w:rPr>
              <w:t>描述</w:t>
            </w:r>
          </w:p>
        </w:tc>
      </w:tr>
      <w:tr w14:paraId="07EB6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2DAE6D41">
            <w:pPr>
              <w:pStyle w:val="11"/>
              <w:jc w:val="center"/>
              <w:rPr>
                <w:color w:val="auto"/>
                <w:sz w:val="24"/>
                <w:szCs w:val="24"/>
                <w:highlight w:val="none"/>
              </w:rPr>
            </w:pPr>
            <w:r>
              <w:rPr>
                <w:rFonts w:ascii="仿宋_GB2312" w:hAnsi="仿宋_GB2312" w:eastAsia="仿宋_GB2312" w:cs="仿宋_GB2312"/>
                <w:color w:val="auto"/>
                <w:sz w:val="24"/>
                <w:szCs w:val="24"/>
                <w:highlight w:val="none"/>
              </w:rPr>
              <w:t>2-1</w:t>
            </w:r>
          </w:p>
        </w:tc>
        <w:tc>
          <w:tcPr>
            <w:tcW w:w="714" w:type="dxa"/>
            <w:vAlign w:val="center"/>
          </w:tcPr>
          <w:p w14:paraId="5C61F241">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8" w:type="dxa"/>
            <w:vAlign w:val="center"/>
          </w:tcPr>
          <w:p w14:paraId="2CE8410D">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69" w:type="dxa"/>
            <w:vAlign w:val="top"/>
          </w:tcPr>
          <w:p w14:paraId="46706677">
            <w:pPr>
              <w:keepNext w:val="0"/>
              <w:keepLines w:val="0"/>
              <w:widowControl/>
              <w:suppressLineNumbers w:val="0"/>
              <w:jc w:val="left"/>
              <w:textAlignment w:val="top"/>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供应商具有有效期内的质量管理体系认证证书（服务内容需包含环境卫生保洁相关内容）的得1分，须提供认证证书扫描件，并承诺可通过全国认证认可信息公共服务平台（网址：cx.cnca.cn）查询证书状态为有效，否则不得分。</w:t>
            </w:r>
          </w:p>
        </w:tc>
      </w:tr>
      <w:tr w14:paraId="622A7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1719C48B">
            <w:pPr>
              <w:pStyle w:val="11"/>
              <w:jc w:val="center"/>
              <w:rPr>
                <w:color w:val="auto"/>
                <w:sz w:val="24"/>
                <w:szCs w:val="24"/>
                <w:highlight w:val="none"/>
              </w:rPr>
            </w:pPr>
            <w:r>
              <w:rPr>
                <w:rFonts w:ascii="仿宋_GB2312" w:hAnsi="仿宋_GB2312" w:eastAsia="仿宋_GB2312" w:cs="仿宋_GB2312"/>
                <w:color w:val="auto"/>
                <w:sz w:val="24"/>
                <w:szCs w:val="24"/>
                <w:highlight w:val="none"/>
              </w:rPr>
              <w:t>2-2</w:t>
            </w:r>
          </w:p>
        </w:tc>
        <w:tc>
          <w:tcPr>
            <w:tcW w:w="714" w:type="dxa"/>
            <w:vAlign w:val="center"/>
          </w:tcPr>
          <w:p w14:paraId="5FF6B633">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8" w:type="dxa"/>
            <w:vAlign w:val="center"/>
          </w:tcPr>
          <w:p w14:paraId="0C59B0DF">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69" w:type="dxa"/>
            <w:vAlign w:val="top"/>
          </w:tcPr>
          <w:p w14:paraId="744C8937">
            <w:pPr>
              <w:keepNext w:val="0"/>
              <w:keepLines w:val="0"/>
              <w:widowControl/>
              <w:suppressLineNumbers w:val="0"/>
              <w:jc w:val="left"/>
              <w:textAlignment w:val="top"/>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供应商具有有效期内的环境管理体系认证证书（服务内容需包含环境卫生保洁相关内容）的得1分，须提供认证证书扫描件，并承诺可通过全国认证认可信息公共服务平台（网址：cx.cnca.cn）查询证书状态为有效，否则不得分。</w:t>
            </w:r>
          </w:p>
        </w:tc>
      </w:tr>
      <w:tr w14:paraId="244F0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7BE513AD">
            <w:pPr>
              <w:pStyle w:val="11"/>
              <w:jc w:val="center"/>
              <w:rPr>
                <w:color w:val="auto"/>
                <w:sz w:val="24"/>
                <w:szCs w:val="24"/>
                <w:highlight w:val="none"/>
              </w:rPr>
            </w:pPr>
            <w:r>
              <w:rPr>
                <w:rFonts w:ascii="仿宋_GB2312" w:hAnsi="仿宋_GB2312" w:eastAsia="仿宋_GB2312" w:cs="仿宋_GB2312"/>
                <w:color w:val="auto"/>
                <w:sz w:val="24"/>
                <w:szCs w:val="24"/>
                <w:highlight w:val="none"/>
              </w:rPr>
              <w:t>2-3</w:t>
            </w:r>
          </w:p>
        </w:tc>
        <w:tc>
          <w:tcPr>
            <w:tcW w:w="714" w:type="dxa"/>
            <w:vAlign w:val="center"/>
          </w:tcPr>
          <w:p w14:paraId="5C7EA4C8">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8" w:type="dxa"/>
            <w:vAlign w:val="center"/>
          </w:tcPr>
          <w:p w14:paraId="1D57C49F">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69" w:type="dxa"/>
            <w:vAlign w:val="top"/>
          </w:tcPr>
          <w:p w14:paraId="4DD637C5">
            <w:pPr>
              <w:keepNext w:val="0"/>
              <w:keepLines w:val="0"/>
              <w:widowControl/>
              <w:suppressLineNumbers w:val="0"/>
              <w:jc w:val="left"/>
              <w:textAlignment w:val="top"/>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供应商具有有效期内的职业健康安全管理体系认证证书（服务内容需包含环境卫生保洁相关内容）的得1分，须提供认证证书扫描件，并承诺可通过全国认证认可信息公共服务平台（网址：cx.cnca.cn）查询证书状态为有效，否则不得分。</w:t>
            </w:r>
          </w:p>
        </w:tc>
      </w:tr>
      <w:tr w14:paraId="401EC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23B8E896">
            <w:pPr>
              <w:pStyle w:val="11"/>
              <w:jc w:val="center"/>
              <w:rPr>
                <w:color w:val="auto"/>
                <w:sz w:val="24"/>
                <w:szCs w:val="24"/>
                <w:highlight w:val="none"/>
              </w:rPr>
            </w:pPr>
            <w:r>
              <w:rPr>
                <w:rFonts w:ascii="仿宋_GB2312" w:hAnsi="仿宋_GB2312" w:eastAsia="仿宋_GB2312" w:cs="仿宋_GB2312"/>
                <w:color w:val="auto"/>
                <w:sz w:val="24"/>
                <w:szCs w:val="24"/>
                <w:highlight w:val="none"/>
              </w:rPr>
              <w:t>2-4</w:t>
            </w:r>
          </w:p>
        </w:tc>
        <w:tc>
          <w:tcPr>
            <w:tcW w:w="714" w:type="dxa"/>
            <w:vAlign w:val="center"/>
          </w:tcPr>
          <w:p w14:paraId="13BDEB99">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8" w:type="dxa"/>
            <w:vAlign w:val="center"/>
          </w:tcPr>
          <w:p w14:paraId="45262301">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69" w:type="dxa"/>
            <w:vAlign w:val="top"/>
          </w:tcPr>
          <w:p w14:paraId="5ECAD8E0">
            <w:pPr>
              <w:keepNext w:val="0"/>
              <w:keepLines w:val="0"/>
              <w:widowControl/>
              <w:suppressLineNumbers w:val="0"/>
              <w:jc w:val="left"/>
              <w:textAlignment w:val="top"/>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供应商具有有效期内的生活垃圾分类服务能力认证证书的得1分。须提供认证证书扫描件，并承诺可通过全国认证认可信息公共服务平台（网址：cx.cnca.cn）查询证书状态为有效，否则不得分。</w:t>
            </w:r>
          </w:p>
        </w:tc>
      </w:tr>
      <w:tr w14:paraId="03107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7D3D6A13">
            <w:pPr>
              <w:pStyle w:val="11"/>
              <w:jc w:val="center"/>
              <w:rPr>
                <w:color w:val="auto"/>
                <w:sz w:val="24"/>
                <w:szCs w:val="24"/>
                <w:highlight w:val="none"/>
              </w:rPr>
            </w:pPr>
            <w:r>
              <w:rPr>
                <w:rFonts w:ascii="仿宋_GB2312" w:hAnsi="仿宋_GB2312" w:eastAsia="仿宋_GB2312" w:cs="仿宋_GB2312"/>
                <w:color w:val="auto"/>
                <w:sz w:val="24"/>
                <w:szCs w:val="24"/>
                <w:highlight w:val="none"/>
              </w:rPr>
              <w:t>2-5</w:t>
            </w:r>
          </w:p>
        </w:tc>
        <w:tc>
          <w:tcPr>
            <w:tcW w:w="714" w:type="dxa"/>
            <w:vAlign w:val="center"/>
          </w:tcPr>
          <w:p w14:paraId="0814CB19">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38" w:type="dxa"/>
            <w:vAlign w:val="center"/>
          </w:tcPr>
          <w:p w14:paraId="12BEA36F">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69" w:type="dxa"/>
            <w:vAlign w:val="top"/>
          </w:tcPr>
          <w:p w14:paraId="489E47D9">
            <w:pPr>
              <w:keepNext w:val="0"/>
              <w:keepLines w:val="0"/>
              <w:widowControl/>
              <w:suppressLineNumbers w:val="0"/>
              <w:jc w:val="left"/>
              <w:textAlignment w:val="top"/>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供应商承诺2023年1月1日以来未因违反劳动保障法律法规受到人力保障和社会保障部门的行政处罚（未达到重大违法情形）的得3分。应提供承诺书，否则不得分。</w:t>
            </w:r>
          </w:p>
        </w:tc>
      </w:tr>
      <w:tr w14:paraId="115FE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53A76DC3">
            <w:pPr>
              <w:pStyle w:val="11"/>
              <w:jc w:val="center"/>
              <w:rPr>
                <w:color w:val="auto"/>
                <w:sz w:val="24"/>
                <w:szCs w:val="24"/>
                <w:highlight w:val="none"/>
              </w:rPr>
            </w:pPr>
            <w:r>
              <w:rPr>
                <w:rFonts w:ascii="仿宋_GB2312" w:hAnsi="仿宋_GB2312" w:eastAsia="仿宋_GB2312" w:cs="仿宋_GB2312"/>
                <w:color w:val="auto"/>
                <w:sz w:val="24"/>
                <w:szCs w:val="24"/>
                <w:highlight w:val="none"/>
              </w:rPr>
              <w:t>2-6</w:t>
            </w:r>
          </w:p>
        </w:tc>
        <w:tc>
          <w:tcPr>
            <w:tcW w:w="714" w:type="dxa"/>
            <w:vAlign w:val="center"/>
          </w:tcPr>
          <w:p w14:paraId="0B962AB9">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38" w:type="dxa"/>
            <w:vAlign w:val="center"/>
          </w:tcPr>
          <w:p w14:paraId="4E2BACA1">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69" w:type="dxa"/>
            <w:vAlign w:val="top"/>
          </w:tcPr>
          <w:p w14:paraId="4FB4B54D">
            <w:pPr>
              <w:keepNext w:val="0"/>
              <w:keepLines w:val="0"/>
              <w:widowControl/>
              <w:suppressLineNumbers w:val="0"/>
              <w:jc w:val="left"/>
              <w:textAlignment w:val="top"/>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供应商承诺派驻工作人员不得有损害采购人社会形象的言行的得3分，须提供书面承诺函（格式自拟），否则不得分。</w:t>
            </w:r>
          </w:p>
        </w:tc>
      </w:tr>
      <w:tr w14:paraId="7C61F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7C02F34F">
            <w:pPr>
              <w:pStyle w:val="11"/>
              <w:jc w:val="center"/>
              <w:rPr>
                <w:color w:val="auto"/>
                <w:sz w:val="24"/>
                <w:szCs w:val="24"/>
                <w:highlight w:val="none"/>
              </w:rPr>
            </w:pPr>
            <w:r>
              <w:rPr>
                <w:rFonts w:ascii="仿宋_GB2312" w:hAnsi="仿宋_GB2312" w:eastAsia="仿宋_GB2312" w:cs="仿宋_GB2312"/>
                <w:color w:val="auto"/>
                <w:sz w:val="24"/>
                <w:szCs w:val="24"/>
                <w:highlight w:val="none"/>
              </w:rPr>
              <w:t>2-7</w:t>
            </w:r>
          </w:p>
        </w:tc>
        <w:tc>
          <w:tcPr>
            <w:tcW w:w="714" w:type="dxa"/>
            <w:vAlign w:val="center"/>
          </w:tcPr>
          <w:p w14:paraId="4432A579">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38" w:type="dxa"/>
            <w:vAlign w:val="center"/>
          </w:tcPr>
          <w:p w14:paraId="2F3D3D2C">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69" w:type="dxa"/>
            <w:vAlign w:val="top"/>
          </w:tcPr>
          <w:p w14:paraId="74623BC0">
            <w:pPr>
              <w:keepNext w:val="0"/>
              <w:keepLines w:val="0"/>
              <w:widowControl/>
              <w:suppressLineNumbers w:val="0"/>
              <w:jc w:val="left"/>
              <w:textAlignment w:val="top"/>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供应商承诺成交后，为投入的所有服务人员购买</w:t>
            </w:r>
            <w:r>
              <w:rPr>
                <w:rFonts w:hint="eastAsia" w:ascii="宋体" w:hAnsi="宋体" w:eastAsia="宋体" w:cs="宋体"/>
                <w:color w:val="auto"/>
                <w:sz w:val="24"/>
                <w:szCs w:val="24"/>
                <w:highlight w:val="none"/>
              </w:rPr>
              <w:t>商业意外伤害险或雇主责任险等保障额度不得低于60万元/年</w:t>
            </w:r>
            <w:r>
              <w:rPr>
                <w:rFonts w:hint="eastAsia" w:ascii="宋体" w:hAnsi="宋体" w:eastAsia="宋体" w:cs="宋体"/>
                <w:i w:val="0"/>
                <w:iCs w:val="0"/>
                <w:color w:val="auto"/>
                <w:kern w:val="0"/>
                <w:sz w:val="24"/>
                <w:szCs w:val="24"/>
                <w:highlight w:val="none"/>
                <w:u w:val="none"/>
                <w:lang w:val="en-US" w:eastAsia="zh-CN" w:bidi="ar"/>
              </w:rPr>
              <w:t>（保险期至少覆盖本项目服务期）的得3分，未提供承诺函或承诺函不完全响应的不得分。</w:t>
            </w:r>
          </w:p>
        </w:tc>
      </w:tr>
      <w:tr w14:paraId="7D957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3A8066AF">
            <w:pPr>
              <w:pStyle w:val="11"/>
              <w:jc w:val="center"/>
              <w:rPr>
                <w:color w:val="auto"/>
                <w:sz w:val="24"/>
                <w:szCs w:val="24"/>
                <w:highlight w:val="none"/>
              </w:rPr>
            </w:pPr>
            <w:r>
              <w:rPr>
                <w:rFonts w:ascii="仿宋_GB2312" w:hAnsi="仿宋_GB2312" w:eastAsia="仿宋_GB2312" w:cs="仿宋_GB2312"/>
                <w:color w:val="auto"/>
                <w:sz w:val="24"/>
                <w:szCs w:val="24"/>
                <w:highlight w:val="none"/>
              </w:rPr>
              <w:t>2-8</w:t>
            </w:r>
          </w:p>
        </w:tc>
        <w:tc>
          <w:tcPr>
            <w:tcW w:w="714" w:type="dxa"/>
            <w:vAlign w:val="center"/>
          </w:tcPr>
          <w:p w14:paraId="35F73E9E">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38" w:type="dxa"/>
            <w:vAlign w:val="center"/>
          </w:tcPr>
          <w:p w14:paraId="229FB7F8">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69" w:type="dxa"/>
            <w:vAlign w:val="top"/>
          </w:tcPr>
          <w:p w14:paraId="2CF02056">
            <w:pPr>
              <w:keepNext w:val="0"/>
              <w:keepLines w:val="0"/>
              <w:widowControl/>
              <w:suppressLineNumbers w:val="0"/>
              <w:jc w:val="left"/>
              <w:textAlignment w:val="top"/>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供应商承诺除一般资格证明条件“重大违法记录”的情形外，自2021年1月1日以来未受到任何与环卫保洁或垃圾清运服务有关的行政处罚,若中标后发现供应商在上述期间内存在行政处罚的情形，将按虚假应标追究其责任，提供无行政处罚书面承诺书的得3分。未提供承诺函或未按要求提供承诺函的不得分（格式自拟）。(满分2分)</w:t>
            </w:r>
          </w:p>
        </w:tc>
      </w:tr>
      <w:tr w14:paraId="05416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4CA49B06">
            <w:pPr>
              <w:pStyle w:val="11"/>
              <w:jc w:val="center"/>
              <w:rPr>
                <w:color w:val="auto"/>
                <w:sz w:val="24"/>
                <w:szCs w:val="24"/>
                <w:highlight w:val="none"/>
              </w:rPr>
            </w:pPr>
            <w:r>
              <w:rPr>
                <w:rFonts w:ascii="仿宋_GB2312" w:hAnsi="仿宋_GB2312" w:eastAsia="仿宋_GB2312" w:cs="仿宋_GB2312"/>
                <w:color w:val="auto"/>
                <w:sz w:val="24"/>
                <w:szCs w:val="24"/>
                <w:highlight w:val="none"/>
              </w:rPr>
              <w:t>2-9</w:t>
            </w:r>
          </w:p>
        </w:tc>
        <w:tc>
          <w:tcPr>
            <w:tcW w:w="714" w:type="dxa"/>
            <w:vAlign w:val="center"/>
          </w:tcPr>
          <w:p w14:paraId="5D167201">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38" w:type="dxa"/>
            <w:vAlign w:val="center"/>
          </w:tcPr>
          <w:p w14:paraId="1F6F1C75">
            <w:pPr>
              <w:pStyle w:val="11"/>
              <w:jc w:val="center"/>
              <w:rPr>
                <w:color w:val="auto"/>
                <w:sz w:val="24"/>
                <w:szCs w:val="24"/>
                <w:highlight w:val="none"/>
              </w:rPr>
            </w:pPr>
            <w:r>
              <w:rPr>
                <w:rFonts w:ascii="仿宋_GB2312" w:hAnsi="仿宋_GB2312" w:eastAsia="仿宋_GB2312" w:cs="仿宋_GB2312"/>
                <w:color w:val="auto"/>
                <w:sz w:val="24"/>
                <w:szCs w:val="24"/>
                <w:highlight w:val="none"/>
              </w:rPr>
              <w:t>是</w:t>
            </w:r>
          </w:p>
        </w:tc>
        <w:tc>
          <w:tcPr>
            <w:tcW w:w="6069" w:type="dxa"/>
            <w:vAlign w:val="top"/>
          </w:tcPr>
          <w:p w14:paraId="36B92646">
            <w:pPr>
              <w:keepNext w:val="0"/>
              <w:keepLines w:val="0"/>
              <w:widowControl/>
              <w:suppressLineNumbers w:val="0"/>
              <w:jc w:val="left"/>
              <w:textAlignment w:val="top"/>
              <w:rPr>
                <w:color w:val="auto"/>
                <w:sz w:val="24"/>
                <w:szCs w:val="24"/>
                <w:highlight w:val="none"/>
              </w:rPr>
            </w:pPr>
            <w:r>
              <w:rPr>
                <w:rStyle w:val="17"/>
                <w:rFonts w:hint="eastAsia" w:ascii="宋体" w:hAnsi="宋体" w:eastAsia="宋体" w:cs="宋体"/>
                <w:color w:val="auto"/>
                <w:highlight w:val="none"/>
                <w:lang w:val="en-US" w:eastAsia="zh-CN" w:bidi="ar"/>
              </w:rPr>
              <w:t>供应商承诺成交后，在服务期内，对拟投入的所有人员安全负全部责任，若发生安全事故，承担全部责任的得</w:t>
            </w:r>
            <w:r>
              <w:rPr>
                <w:rStyle w:val="18"/>
                <w:rFonts w:hint="eastAsia" w:ascii="宋体" w:hAnsi="宋体" w:eastAsia="宋体" w:cs="宋体"/>
                <w:color w:val="auto"/>
                <w:highlight w:val="none"/>
                <w:lang w:val="en-US" w:eastAsia="zh-CN" w:bidi="ar"/>
              </w:rPr>
              <w:t>3</w:t>
            </w:r>
            <w:r>
              <w:rPr>
                <w:rStyle w:val="17"/>
                <w:rFonts w:hint="eastAsia" w:ascii="宋体" w:hAnsi="宋体" w:eastAsia="宋体" w:cs="宋体"/>
                <w:color w:val="auto"/>
                <w:highlight w:val="none"/>
                <w:lang w:val="en-US" w:eastAsia="zh-CN" w:bidi="ar"/>
              </w:rPr>
              <w:t>分，需提供书面承诺函（格式自拟），否则不得分。</w:t>
            </w:r>
          </w:p>
        </w:tc>
      </w:tr>
      <w:tr w14:paraId="5A4CE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5501BBA">
            <w:pPr>
              <w:pStyle w:val="11"/>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2-10</w:t>
            </w:r>
          </w:p>
        </w:tc>
        <w:tc>
          <w:tcPr>
            <w:tcW w:w="714" w:type="dxa"/>
            <w:vAlign w:val="center"/>
          </w:tcPr>
          <w:p w14:paraId="0D65E32F">
            <w:pPr>
              <w:keepNext w:val="0"/>
              <w:keepLines w:val="0"/>
              <w:widowControl/>
              <w:suppressLineNumbers w:val="0"/>
              <w:jc w:val="center"/>
              <w:textAlignment w:val="center"/>
              <w:rPr>
                <w:rFonts w:ascii="仿宋_GB2312" w:hAnsi="仿宋_GB2312" w:eastAsia="仿宋_GB2312" w:cs="仿宋_GB2312"/>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38" w:type="dxa"/>
            <w:vAlign w:val="center"/>
          </w:tcPr>
          <w:p w14:paraId="35539BCB">
            <w:pPr>
              <w:pStyle w:val="11"/>
              <w:jc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是</w:t>
            </w:r>
          </w:p>
        </w:tc>
        <w:tc>
          <w:tcPr>
            <w:tcW w:w="6069" w:type="dxa"/>
            <w:vAlign w:val="center"/>
          </w:tcPr>
          <w:p w14:paraId="213E9CB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根据供应商自2021年1月1日以来(以合同签订时间为准)，由自身承包(包括已完成或正在履行)的环卫保洁项目业绩的情况进行评议，提供1份有效业绩得1.5分，满分3分。 注：业绩证明材料须含中标（成交）公告（提供相关网站中标（成交）公告的下载网页并注明网址）、中标（成交）通知书扫描件、采购合同文本扫描件，已完成业绩项目提供已经采购人验收合格的相关证明文件或用户评价；正在履行业绩项目提供阶段性验收证明或正在履行中相关证明材料（包括但不限于发票等），未提供或提供不全的不得分。</w:t>
            </w:r>
          </w:p>
        </w:tc>
      </w:tr>
      <w:tr w14:paraId="2A518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6286BB33">
            <w:pPr>
              <w:pStyle w:val="11"/>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2-11</w:t>
            </w:r>
          </w:p>
        </w:tc>
        <w:tc>
          <w:tcPr>
            <w:tcW w:w="714" w:type="dxa"/>
            <w:vAlign w:val="center"/>
          </w:tcPr>
          <w:p w14:paraId="61542A25">
            <w:pPr>
              <w:keepNext w:val="0"/>
              <w:keepLines w:val="0"/>
              <w:widowControl/>
              <w:suppressLineNumbers w:val="0"/>
              <w:jc w:val="center"/>
              <w:textAlignment w:val="center"/>
              <w:rPr>
                <w:rFonts w:ascii="仿宋_GB2312" w:hAnsi="仿宋_GB2312" w:eastAsia="仿宋_GB2312" w:cs="仿宋_GB2312"/>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38" w:type="dxa"/>
            <w:vAlign w:val="center"/>
          </w:tcPr>
          <w:p w14:paraId="036B46BA">
            <w:pPr>
              <w:pStyle w:val="11"/>
              <w:jc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是</w:t>
            </w:r>
          </w:p>
        </w:tc>
        <w:tc>
          <w:tcPr>
            <w:tcW w:w="6069" w:type="dxa"/>
            <w:shd w:val="clear" w:color="auto" w:fill="auto"/>
            <w:vAlign w:val="top"/>
          </w:tcPr>
          <w:p w14:paraId="2E3C137D">
            <w:pPr>
              <w:keepNext w:val="0"/>
              <w:keepLines w:val="0"/>
              <w:widowControl/>
              <w:suppressLineNumbers w:val="0"/>
              <w:jc w:val="both"/>
              <w:textAlignment w:val="top"/>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供应商自2021年1月1日至今（以合同签订时间为准），根据业主单位出具同类项目的服务满意度证明进行评分，评价为好评（“优”或“优秀”或“非常满意”等相同含义的评价）的，每提供一份的得1分，满分3分，需同时提供服务合同及业主满意证明材料，未同时提供以上证明材料的本项不得分。</w:t>
            </w:r>
          </w:p>
        </w:tc>
      </w:tr>
    </w:tbl>
    <w:p w14:paraId="6B3C9E14">
      <w:pPr>
        <w:pStyle w:val="11"/>
        <w:jc w:val="both"/>
        <w:rPr>
          <w:color w:val="auto"/>
          <w:highlight w:val="none"/>
        </w:rPr>
      </w:pPr>
      <w:r>
        <w:rPr>
          <w:rFonts w:ascii="仿宋_GB2312" w:hAnsi="仿宋_GB2312" w:eastAsia="仿宋_GB2312" w:cs="仿宋_GB2312"/>
          <w:color w:val="auto"/>
          <w:highlight w:val="none"/>
        </w:rPr>
        <w:t>异常低价审查</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8"/>
        <w:gridCol w:w="6888"/>
      </w:tblGrid>
      <w:tr w14:paraId="1D5F3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tcPr>
          <w:p w14:paraId="5AF21F46">
            <w:pPr>
              <w:pStyle w:val="11"/>
              <w:jc w:val="both"/>
              <w:rPr>
                <w:color w:val="auto"/>
                <w:highlight w:val="none"/>
              </w:rPr>
            </w:pPr>
            <w:r>
              <w:rPr>
                <w:rFonts w:ascii="仿宋_GB2312" w:hAnsi="仿宋_GB2312" w:eastAsia="仿宋_GB2312" w:cs="仿宋_GB2312"/>
                <w:color w:val="auto"/>
                <w:highlight w:val="none"/>
              </w:rPr>
              <w:t>项目</w:t>
            </w:r>
          </w:p>
        </w:tc>
        <w:tc>
          <w:tcPr>
            <w:tcW w:w="6888" w:type="dxa"/>
          </w:tcPr>
          <w:p w14:paraId="6597E8A0">
            <w:pPr>
              <w:pStyle w:val="11"/>
              <w:jc w:val="both"/>
              <w:rPr>
                <w:color w:val="auto"/>
                <w:highlight w:val="none"/>
              </w:rPr>
            </w:pPr>
            <w:r>
              <w:rPr>
                <w:rFonts w:ascii="仿宋_GB2312" w:hAnsi="仿宋_GB2312" w:eastAsia="仿宋_GB2312" w:cs="仿宋_GB2312"/>
                <w:color w:val="auto"/>
                <w:highlight w:val="none"/>
              </w:rPr>
              <w:t>描述</w:t>
            </w:r>
          </w:p>
        </w:tc>
      </w:tr>
      <w:tr w14:paraId="42368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tcPr>
          <w:p w14:paraId="42B9DB60">
            <w:pPr>
              <w:pStyle w:val="11"/>
              <w:jc w:val="left"/>
              <w:rPr>
                <w:color w:val="auto"/>
                <w:highlight w:val="none"/>
              </w:rPr>
            </w:pPr>
            <w:r>
              <w:rPr>
                <w:rFonts w:ascii="仿宋_GB2312" w:hAnsi="仿宋_GB2312" w:eastAsia="仿宋_GB2312" w:cs="仿宋_GB2312"/>
                <w:color w:val="auto"/>
                <w:highlight w:val="none"/>
              </w:rPr>
              <w:t>异常低价审查</w:t>
            </w:r>
          </w:p>
        </w:tc>
        <w:tc>
          <w:tcPr>
            <w:tcW w:w="6888" w:type="dxa"/>
          </w:tcPr>
          <w:p w14:paraId="44E35BF6">
            <w:pPr>
              <w:pStyle w:val="11"/>
              <w:jc w:val="left"/>
              <w:rPr>
                <w:color w:val="auto"/>
                <w:highlight w:val="none"/>
              </w:rPr>
            </w:pPr>
            <w:r>
              <w:rPr>
                <w:rFonts w:ascii="仿宋_GB2312" w:hAnsi="仿宋_GB2312" w:eastAsia="仿宋_GB2312" w:cs="仿宋_GB2312"/>
                <w:color w:val="auto"/>
                <w:highlight w:val="none"/>
              </w:rPr>
              <w:t>根据《财政部关于推动解决政府采购异常低价问题的通知》（财库〔2026〕2号），结合本项目（采购包）实际情况，政府采购评审中出现下列情形之一的，评审委员会应当启动异常低价投标（响应）审查程序： （1）合计响应报价响应报价低于全部通过符合性审查供应商响应报价平均值50%的，即合计响应报价响应报价&lt;全部通过符合性审查供应商响应报价平均值×50%。 （2）合计响应报价响应报价低于通过符合性审查次低报价供应商响应报价50%的，即合计响应报价响应报价&lt;通过符合性审查次低报价供应商响应报价×50%。 （3）合计响应报价响应报价低于最高限价45%的，即合计响应报价响应报价&lt;最高限价×45%。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15FDC81E">
      <w:pPr>
        <w:pStyle w:val="11"/>
        <w:ind w:firstLine="480" w:firstLineChars="200"/>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0EE394">
      <w:pPr>
        <w:pStyle w:val="11"/>
        <w:ind w:firstLine="480" w:firstLineChars="200"/>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E8315B6">
      <w:pPr>
        <w:pStyle w:val="11"/>
        <w:ind w:firstLine="480" w:firstLineChars="200"/>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54F13B6">
      <w:pPr>
        <w:pStyle w:val="11"/>
        <w:ind w:firstLine="480" w:firstLineChars="200"/>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012986FF">
      <w:pPr>
        <w:pStyle w:val="11"/>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※除本章第6.3条第（3）款规定情形和落实政府采购政策需进行的价格扣除情形外，不能对投标人的投标报价进行任何调整。</w:t>
      </w:r>
    </w:p>
    <w:p w14:paraId="32FFE409">
      <w:pPr>
        <w:pStyle w:val="11"/>
        <w:jc w:val="both"/>
        <w:rPr>
          <w:color w:val="auto"/>
          <w:sz w:val="24"/>
          <w:szCs w:val="24"/>
          <w:highlight w:val="none"/>
        </w:rPr>
      </w:pPr>
      <w:r>
        <w:rPr>
          <w:rFonts w:ascii="仿宋_GB2312" w:hAnsi="仿宋_GB2312" w:eastAsia="仿宋_GB2312" w:cs="仿宋_GB2312"/>
          <w:color w:val="auto"/>
          <w:sz w:val="24"/>
          <w:szCs w:val="24"/>
          <w:highlight w:val="none"/>
        </w:rPr>
        <w:t>（3）中标候选人排列规则顺序如下：</w:t>
      </w:r>
    </w:p>
    <w:p w14:paraId="60386E5E">
      <w:pPr>
        <w:pStyle w:val="11"/>
        <w:jc w:val="both"/>
        <w:rPr>
          <w:color w:val="auto"/>
          <w:sz w:val="24"/>
          <w:szCs w:val="24"/>
          <w:highlight w:val="none"/>
        </w:rPr>
      </w:pPr>
      <w:r>
        <w:rPr>
          <w:rFonts w:ascii="仿宋_GB2312" w:hAnsi="仿宋_GB2312" w:eastAsia="仿宋_GB2312" w:cs="仿宋_GB2312"/>
          <w:color w:val="auto"/>
          <w:sz w:val="24"/>
          <w:szCs w:val="24"/>
          <w:highlight w:val="none"/>
        </w:rPr>
        <w:t>a.按照评标总得分（FA）由高到低顺序排列。</w:t>
      </w:r>
    </w:p>
    <w:p w14:paraId="77758031">
      <w:pPr>
        <w:pStyle w:val="11"/>
        <w:jc w:val="both"/>
        <w:rPr>
          <w:color w:val="auto"/>
          <w:sz w:val="24"/>
          <w:szCs w:val="24"/>
          <w:highlight w:val="none"/>
        </w:rPr>
      </w:pPr>
      <w:r>
        <w:rPr>
          <w:rFonts w:ascii="仿宋_GB2312" w:hAnsi="仿宋_GB2312" w:eastAsia="仿宋_GB2312" w:cs="仿宋_GB2312"/>
          <w:color w:val="auto"/>
          <w:sz w:val="24"/>
          <w:szCs w:val="24"/>
          <w:highlight w:val="none"/>
        </w:rPr>
        <w:t>b.评标总得分（FA）相同的，按照评标价（即价格扣除后的投标报价）由低到高顺序排列。</w:t>
      </w:r>
    </w:p>
    <w:p w14:paraId="232C9E75">
      <w:pPr>
        <w:pStyle w:val="11"/>
        <w:jc w:val="both"/>
        <w:rPr>
          <w:color w:val="auto"/>
          <w:sz w:val="24"/>
          <w:szCs w:val="24"/>
          <w:highlight w:val="none"/>
        </w:rPr>
      </w:pPr>
      <w:r>
        <w:rPr>
          <w:rFonts w:ascii="仿宋_GB2312" w:hAnsi="仿宋_GB2312" w:eastAsia="仿宋_GB2312" w:cs="仿宋_GB2312"/>
          <w:color w:val="auto"/>
          <w:sz w:val="24"/>
          <w:szCs w:val="24"/>
          <w:highlight w:val="none"/>
        </w:rPr>
        <w:t>c.评标总得分（FA）且评标价（即价格扣除后的投标报价）相同的并列。</w:t>
      </w:r>
    </w:p>
    <w:p w14:paraId="18B419CD">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8、其他规定</w:t>
      </w:r>
    </w:p>
    <w:p w14:paraId="4C9DB20B">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8.1评标应全程保密且不得透露给任一投标人或与评标工作无关的人员。</w:t>
      </w:r>
    </w:p>
    <w:p w14:paraId="0804A3D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8.2评标将进行全程实时录音录像，录音录像资料随采购文件一并存档。</w:t>
      </w:r>
    </w:p>
    <w:p w14:paraId="1C6E49AF">
      <w:pPr>
        <w:pStyle w:val="11"/>
        <w:ind w:firstLine="480"/>
        <w:jc w:val="both"/>
        <w:rPr>
          <w:color w:val="auto"/>
          <w:sz w:val="24"/>
          <w:szCs w:val="24"/>
          <w:highlight w:val="none"/>
        </w:rPr>
      </w:pPr>
      <w:r>
        <w:rPr>
          <w:rFonts w:ascii="仿宋_GB2312" w:hAnsi="仿宋_GB2312" w:eastAsia="仿宋_GB2312" w:cs="仿宋_GB2312"/>
          <w:color w:val="auto"/>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761DE079">
      <w:pPr>
        <w:pStyle w:val="11"/>
        <w:ind w:firstLine="480"/>
        <w:jc w:val="both"/>
        <w:rPr>
          <w:rFonts w:hint="eastAsia" w:eastAsia="仿宋_GB2312"/>
          <w:color w:val="auto"/>
          <w:sz w:val="24"/>
          <w:szCs w:val="24"/>
          <w:highlight w:val="none"/>
          <w:lang w:val="en-US" w:eastAsia="zh-CN"/>
        </w:rPr>
      </w:pPr>
      <w:r>
        <w:rPr>
          <w:rFonts w:ascii="仿宋_GB2312" w:hAnsi="仿宋_GB2312" w:eastAsia="仿宋_GB2312" w:cs="仿宋_GB2312"/>
          <w:color w:val="auto"/>
          <w:sz w:val="24"/>
          <w:szCs w:val="24"/>
          <w:highlight w:val="none"/>
        </w:rPr>
        <w:t>8.4其他：</w:t>
      </w:r>
      <w:r>
        <w:rPr>
          <w:rFonts w:hint="eastAsia" w:ascii="仿宋_GB2312" w:hAnsi="仿宋_GB2312" w:eastAsia="仿宋_GB2312" w:cs="仿宋_GB2312"/>
          <w:color w:val="auto"/>
          <w:sz w:val="24"/>
          <w:szCs w:val="24"/>
          <w:highlight w:val="none"/>
          <w:lang w:val="en-US" w:eastAsia="zh-CN"/>
        </w:rPr>
        <w:t>无</w:t>
      </w:r>
    </w:p>
    <w:p w14:paraId="61F2414E">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3A6D2F81">
      <w:pPr>
        <w:pStyle w:val="11"/>
        <w:jc w:val="center"/>
        <w:outlineLvl w:val="1"/>
        <w:rPr>
          <w:b/>
          <w:bCs w:val="0"/>
          <w:color w:val="auto"/>
          <w:sz w:val="30"/>
          <w:szCs w:val="30"/>
          <w:highlight w:val="none"/>
        </w:rPr>
      </w:pPr>
      <w:r>
        <w:rPr>
          <w:rFonts w:ascii="仿宋_GB2312" w:hAnsi="仿宋_GB2312" w:eastAsia="仿宋_GB2312" w:cs="仿宋_GB2312"/>
          <w:b/>
          <w:bCs w:val="0"/>
          <w:color w:val="auto"/>
          <w:sz w:val="30"/>
          <w:szCs w:val="30"/>
          <w:highlight w:val="none"/>
        </w:rPr>
        <w:t>第五章 招标内容及要求</w:t>
      </w:r>
    </w:p>
    <w:p w14:paraId="5C105898">
      <w:pPr>
        <w:pStyle w:val="11"/>
        <w:keepNext w:val="0"/>
        <w:keepLines w:val="0"/>
        <w:pageBreakBefore w:val="0"/>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一、项目概况（采购标的）</w:t>
      </w:r>
    </w:p>
    <w:p w14:paraId="721419BD">
      <w:pPr>
        <w:pStyle w:val="11"/>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城市市容和环境卫生管理条例》《城市生活垃圾管理办法》等有关规定及《关于印发同安区城乡一体化环境卫生体系实施方案的通知》（厦同政办【2019】8号）、《中共厦门市同安区委会议纪要》【2026】3号、《2023年厦门市垃圾分类工作考评方案》(厦垃圾分类办【2023】24号)等会议文件精神</w:t>
      </w:r>
      <w:r>
        <w:rPr>
          <w:rFonts w:hint="eastAsia" w:ascii="宋体" w:hAnsi="宋体" w:eastAsia="宋体" w:cs="宋体"/>
          <w:color w:val="auto"/>
          <w:sz w:val="24"/>
          <w:szCs w:val="24"/>
          <w:highlight w:val="none"/>
          <w:lang w:eastAsia="zh-CN"/>
        </w:rPr>
        <w:t>。</w:t>
      </w:r>
    </w:p>
    <w:p w14:paraId="509B8184">
      <w:pPr>
        <w:pStyle w:val="11"/>
        <w:keepNext w:val="0"/>
        <w:keepLines w:val="0"/>
        <w:pageBreakBefore w:val="0"/>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二、技术和服务要求（以“★”标示的内容为不允许负偏离的实质性要求）</w:t>
      </w:r>
    </w:p>
    <w:p w14:paraId="13890147">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shd w:val="clear" w:fill="FFFFFF"/>
        </w:rPr>
      </w:pPr>
      <w:r>
        <w:rPr>
          <w:rFonts w:hint="eastAsia" w:ascii="宋体" w:hAnsi="宋体" w:eastAsia="宋体" w:cs="宋体"/>
          <w:b/>
          <w:color w:val="auto"/>
          <w:sz w:val="24"/>
          <w:szCs w:val="24"/>
          <w:highlight w:val="none"/>
          <w:shd w:val="clear" w:fill="FFFFFF"/>
        </w:rPr>
        <w:t>（一）采购项目需求</w:t>
      </w:r>
    </w:p>
    <w:p w14:paraId="54FFA03A">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范围：本辖区（后宅社区、禾山社区、凤南社区、南山村、土楼村、后坂村、新塘村）的保洁、公厕管养、垃圾分类上门收集、垃圾转运进行一体化管理以及“门前三包”的各项工作开展（辖区面积42.7平方公里，五分类投放点及转运点25个，三分类投放点58个）。</w:t>
      </w:r>
    </w:p>
    <w:p w14:paraId="4AB11C9D">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服务质量标准：中标方作业质量参照厦门市城市综合管理考评委员会办公室制定的《城乡接合部市容管理考评标准》以及《农村村容和环境卫生考评标准》规定的相关质量标准（详见附件1、2）。</w:t>
      </w:r>
    </w:p>
    <w:p w14:paraId="7FE09E91">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shd w:val="clear" w:fill="FFFFFF"/>
          <w:lang w:val="en-US" w:eastAsia="zh-CN"/>
        </w:rPr>
      </w:pPr>
      <w:r>
        <w:rPr>
          <w:rFonts w:hint="eastAsia" w:ascii="宋体" w:hAnsi="宋体" w:eastAsia="宋体" w:cs="宋体"/>
          <w:b/>
          <w:color w:val="auto"/>
          <w:sz w:val="24"/>
          <w:szCs w:val="24"/>
          <w:highlight w:val="none"/>
          <w:shd w:val="clear" w:fill="FFFFFF"/>
        </w:rPr>
        <w:t>（</w:t>
      </w:r>
      <w:r>
        <w:rPr>
          <w:rFonts w:hint="eastAsia" w:ascii="宋体" w:hAnsi="宋体" w:eastAsia="宋体" w:cs="宋体"/>
          <w:b/>
          <w:color w:val="auto"/>
          <w:sz w:val="24"/>
          <w:szCs w:val="24"/>
          <w:highlight w:val="none"/>
          <w:shd w:val="clear" w:fill="FFFFFF"/>
          <w:lang w:val="en-US" w:eastAsia="zh-CN"/>
        </w:rPr>
        <w:t>二</w:t>
      </w:r>
      <w:r>
        <w:rPr>
          <w:rFonts w:hint="eastAsia" w:ascii="宋体" w:hAnsi="宋体" w:eastAsia="宋体" w:cs="宋体"/>
          <w:b/>
          <w:color w:val="auto"/>
          <w:sz w:val="24"/>
          <w:szCs w:val="24"/>
          <w:highlight w:val="none"/>
          <w:shd w:val="clear" w:fill="FFFFFF"/>
        </w:rPr>
        <w:t>）</w:t>
      </w:r>
      <w:r>
        <w:rPr>
          <w:rFonts w:hint="eastAsia" w:ascii="宋体" w:hAnsi="宋体" w:eastAsia="宋体" w:cs="宋体"/>
          <w:b/>
          <w:color w:val="auto"/>
          <w:sz w:val="24"/>
          <w:szCs w:val="24"/>
          <w:highlight w:val="none"/>
          <w:shd w:val="clear" w:fill="FFFFFF"/>
          <w:lang w:val="en-US" w:eastAsia="zh-CN"/>
        </w:rPr>
        <w:t>服务期限</w:t>
      </w:r>
    </w:p>
    <w:p w14:paraId="55FBDF41">
      <w:pPr>
        <w:pStyle w:val="11"/>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自2026年04月01日起至2027年03月31日。</w:t>
      </w:r>
    </w:p>
    <w:p w14:paraId="00B56206">
      <w:pPr>
        <w:pStyle w:val="11"/>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color w:val="auto"/>
          <w:sz w:val="24"/>
          <w:szCs w:val="24"/>
          <w:highlight w:val="none"/>
          <w:shd w:val="clear" w:fill="FFFFFF"/>
        </w:rPr>
      </w:pPr>
      <w:r>
        <w:rPr>
          <w:rFonts w:hint="eastAsia" w:ascii="宋体" w:hAnsi="宋体" w:eastAsia="宋体" w:cs="宋体"/>
          <w:b/>
          <w:color w:val="auto"/>
          <w:sz w:val="24"/>
          <w:szCs w:val="24"/>
          <w:highlight w:val="none"/>
          <w:shd w:val="clear" w:fill="FFFFFF"/>
        </w:rPr>
        <w:t>（三）服务内容要求</w:t>
      </w:r>
    </w:p>
    <w:p w14:paraId="44372E7B">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1、保洁要求（总人员配置不少于110人）</w:t>
      </w:r>
    </w:p>
    <w:p w14:paraId="222F8A6F">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村居可视范围内的背街小巷、路面、明沟、沟井口、树穴、公共绿地无明显白色垃圾、生活废弃物、大件堆积物、浮土砖瓦、积尘积水、人畜粪便、杂草丛生、乱张贴广告纸和乱涂写、油污渍及呕吐等污染物、小于4平方以下土头垃圾等。</w:t>
      </w:r>
    </w:p>
    <w:p w14:paraId="165EB024">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（2）作业时，使用文明用语，礼貌待人，不与他人发生口角争执；环卫人员在作业时应统一配备具有警示和反光性能的工作服。</w:t>
      </w:r>
    </w:p>
    <w:p w14:paraId="7BA1E00F">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作业时间应符合以下规定：实行责任制保洁清扫（保洁时长根据村居人口分布情况进行机动调整），正常工作日在上午7:30前完成清扫与垃圾收集工作，下午春夏季15:00/秋冬季14:30前完成，其余时段加强巡回保洁。</w:t>
      </w:r>
    </w:p>
    <w:p w14:paraId="105CFE80">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2、垃圾分类收集要求</w:t>
      </w:r>
    </w:p>
    <w:p w14:paraId="366E5942">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（1）配置的转运及清洗设备需满足村居垃圾分类收运及时不爆满、垃圾桶保持干净整洁。</w:t>
      </w:r>
    </w:p>
    <w:p w14:paraId="583551DA">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（2）配置的垃圾分类收集车辆应符合《厦门市生活垃圾分类标准》和《2023年厦门市生活垃圾分类工作考评方案》，同时应配合开展“桶车直运”或者“车车对接”作业模式。</w:t>
      </w:r>
    </w:p>
    <w:p w14:paraId="15C48B17">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（3）日常垃圾分类收集转运的频率，需保障村居投放点无大面积落地垃圾、投放点及接驳点垃圾桶无爆满、垃圾应分类收集转运（禁止混装混运）。</w:t>
      </w:r>
    </w:p>
    <w:p w14:paraId="1E12C241">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（4）各类垃圾桶标识清晰、配置比例符合相关要求、垃圾桶盖密闭等。</w:t>
      </w:r>
    </w:p>
    <w:p w14:paraId="5818E5E9">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（5）禁止焚烧垃圾、树叶及其他废弃物。</w:t>
      </w:r>
    </w:p>
    <w:p w14:paraId="27CBA445">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（6）垃圾直运点（接驳点）内。其他垃圾、厨余垃圾、低值可回收物做到日产日清，大件垃圾、玻璃陶瓷、有害垃圾采用暂存收集，待一定量后申报转运。</w:t>
      </w:r>
    </w:p>
    <w:p w14:paraId="58A583FF">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3、垃圾收集容器要求</w:t>
      </w:r>
    </w:p>
    <w:p w14:paraId="0B6EC525">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（1）持续推动“并桶撤点”工作，减少垃圾桶设置数量，有条件的村居可探索撤除所有垃圾桶（仅保留五分类点及直运点位的垃圾桶）。</w:t>
      </w:r>
    </w:p>
    <w:p w14:paraId="2F8A249D">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（2）垃圾收集容器由中标方自行维护管理使用，若今后出现偷盗、人为损毁现象，中标方要承担维护补充配置，保证硬件设施的可使用性及符合考评的相关要求。</w:t>
      </w:r>
    </w:p>
    <w:p w14:paraId="61EC4595">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4、公厕保洁管理要求</w:t>
      </w:r>
    </w:p>
    <w:p w14:paraId="0B20CBE6">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公厕管理要求：人员统一着装、礼貌待人、文明用语。遵守公厕对外服务时间，每座公厕由一名保洁员负责，可兼顾周边村道保洁，对公厕进行巡回保洁。残障间或第三卫生间（如有）应对外开放，不得上锁。 </w:t>
      </w:r>
    </w:p>
    <w:p w14:paraId="30EA45C6">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（2）质量标准：公厕内及周边保持干净整洁无异味、水电可通、设备及蹲坑位使用正常。</w:t>
      </w:r>
    </w:p>
    <w:p w14:paraId="41825B42">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（3）制度管理规范：所有公厕一律实行免费；“一长两员”监督牌上墙；建立公厕清洗、消杀台账；禁止在公厕里乱搭水电。</w:t>
      </w:r>
    </w:p>
    <w:p w14:paraId="7B9A80B6">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（4）公厕保洁消杀耗材、小配件维修更换由中标方自行购买。涉及大范围维修或提升改造由双方另行协商制定方案及相关费用。</w:t>
      </w:r>
    </w:p>
    <w:p w14:paraId="5BBD106A">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5、道路（退线外）及建筑物外墙2米以下无乱张贴、乱涂写、乱悬挂的“三无”标准。</w:t>
      </w:r>
    </w:p>
    <w:p w14:paraId="00A8AED0">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6、设备要求</w:t>
      </w:r>
    </w:p>
    <w:p w14:paraId="6C4391D9">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8吨</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压缩车1部、大型水车1部、抽粪车1部、1.5吨</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压缩车2部</w:t>
      </w:r>
    </w:p>
    <w:p w14:paraId="509AE96F">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“门前三包”工作</w:t>
      </w:r>
    </w:p>
    <w:p w14:paraId="397E4426">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人员配置不少于3人，</w:t>
      </w:r>
      <w:bookmarkStart w:id="2" w:name="_GoBack"/>
      <w:bookmarkEnd w:id="2"/>
      <w:r>
        <w:rPr>
          <w:rFonts w:hint="eastAsia" w:ascii="宋体" w:hAnsi="宋体" w:eastAsia="宋体" w:cs="宋体"/>
          <w:color w:val="auto"/>
          <w:sz w:val="24"/>
          <w:szCs w:val="24"/>
          <w:highlight w:val="none"/>
        </w:rPr>
        <w:t>负责签订辖区内各村居“门前三包”管理承诺书，系统APP各项信息及时更新录入，每年签订承诺书及信息更新不低于300家。</w:t>
      </w:r>
    </w:p>
    <w:p w14:paraId="3AE3FED4">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（2）负责做好街道环境卫生、市容市貌等“门前三包”巡查队伍日常考评、绩效监管。协同完成劝导占道等违反“门前三包”管理条例经营不低于500起。</w:t>
      </w:r>
    </w:p>
    <w:p w14:paraId="25D1572F">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（3）配合有关“大城管”的考核、摊规点及户外广告的整治工作。</w:t>
      </w:r>
    </w:p>
    <w:p w14:paraId="29656F03">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配合各村（居）网格做好巡查工作，落实城市综合管理日常巡查工作。及时上报辖区城市综合管理存在的问题，及时向各责任单位派发事件，跟踪、督促事件办理情况，及时接收市、区运管服平台事部件，指挥、调度责任部门村（居）按要求完成处置整改。</w:t>
      </w:r>
    </w:p>
    <w:p w14:paraId="1B8ECDF4">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8、安全要求</w:t>
      </w:r>
    </w:p>
    <w:p w14:paraId="66E34989">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（1）中标方应根据国家有关安全条例做好承揽项目的安全生产管理工作，保障一线环卫工人的工作安全，有效防范各类安全事故发生。</w:t>
      </w:r>
    </w:p>
    <w:p w14:paraId="7D0B7FF8">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（2）任何由中标方原因引起的自身人员或任何第三方人身损害或财产损失的，概由中标方负责解决及承担相关法律责任。</w:t>
      </w:r>
    </w:p>
    <w:p w14:paraId="387E03B4">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9、突发事件及重大活动保洁保障（如文明创建、联合整治等需要的人员及设备费用）由双方协定，即时结算，实报实销。</w:t>
      </w:r>
    </w:p>
    <w:p w14:paraId="0AC42E70">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技术响应</w:t>
      </w:r>
    </w:p>
    <w:p w14:paraId="2C4E1E9F">
      <w:pPr>
        <w:pStyle w:val="11"/>
        <w:keepNext w:val="0"/>
        <w:keepLines w:val="0"/>
        <w:pageBreakBefore w:val="0"/>
        <w:kinsoku/>
        <w:wordWrap/>
        <w:overflowPunct/>
        <w:topLinePunct w:val="0"/>
        <w:autoSpaceDE/>
        <w:autoSpaceDN/>
        <w:bidi w:val="0"/>
        <w:adjustRightInd/>
        <w:snapToGrid/>
        <w:spacing w:line="400" w:lineRule="exact"/>
        <w:ind w:firstLine="4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1、本项目为整体项目，除了供应商为满足本项目专门面向中小企业的采购政策而在投标文件中列明的分包外，不得另行转包和分包。。</w:t>
      </w:r>
    </w:p>
    <w:p w14:paraId="73B072F6">
      <w:pPr>
        <w:pStyle w:val="11"/>
        <w:keepNext w:val="0"/>
        <w:keepLines w:val="0"/>
        <w:pageBreakBefore w:val="0"/>
        <w:kinsoku/>
        <w:wordWrap/>
        <w:overflowPunct/>
        <w:topLinePunct w:val="0"/>
        <w:autoSpaceDE/>
        <w:autoSpaceDN/>
        <w:bidi w:val="0"/>
        <w:adjustRightInd/>
        <w:snapToGrid/>
        <w:spacing w:line="400" w:lineRule="exact"/>
        <w:ind w:firstLine="4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2、供应商应提供符合本项目要求的服务方案、服务内容、服务业务流程、制度建设、执行标准</w:t>
      </w:r>
      <w:r>
        <w:rPr>
          <w:rFonts w:hint="eastAsia" w:ascii="宋体" w:hAnsi="宋体" w:eastAsia="宋体" w:cs="宋体"/>
          <w:color w:val="auto"/>
          <w:sz w:val="24"/>
          <w:szCs w:val="24"/>
          <w:highlight w:val="none"/>
          <w:lang w:eastAsia="zh-CN"/>
        </w:rPr>
        <w:t>、人员配置</w:t>
      </w:r>
      <w:r>
        <w:rPr>
          <w:rFonts w:hint="eastAsia" w:ascii="宋体" w:hAnsi="宋体" w:eastAsia="宋体" w:cs="宋体"/>
          <w:color w:val="auto"/>
          <w:sz w:val="24"/>
          <w:szCs w:val="24"/>
          <w:highlight w:val="none"/>
        </w:rPr>
        <w:t>及配备明细表等。</w:t>
      </w:r>
    </w:p>
    <w:p w14:paraId="73D58006">
      <w:pPr>
        <w:pStyle w:val="11"/>
        <w:keepNext w:val="0"/>
        <w:keepLines w:val="0"/>
        <w:pageBreakBefore w:val="0"/>
        <w:kinsoku/>
        <w:wordWrap/>
        <w:overflowPunct/>
        <w:topLinePunct w:val="0"/>
        <w:autoSpaceDE/>
        <w:autoSpaceDN/>
        <w:bidi w:val="0"/>
        <w:adjustRightInd/>
        <w:snapToGrid/>
        <w:spacing w:line="400" w:lineRule="exact"/>
        <w:ind w:firstLine="4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3、供应商应针对本项目的特点和要求，提供详尽可行的服务保障方案，含服务保障措施、突发应急措施、确保安全文明服务的具体管理办法措施、服务响应承诺、投诉纠纷解决方案等。</w:t>
      </w:r>
    </w:p>
    <w:p w14:paraId="3CF169A2">
      <w:pPr>
        <w:pStyle w:val="11"/>
        <w:keepNext w:val="0"/>
        <w:keepLines w:val="0"/>
        <w:pageBreakBefore w:val="0"/>
        <w:kinsoku/>
        <w:wordWrap/>
        <w:overflowPunct/>
        <w:topLinePunct w:val="0"/>
        <w:autoSpaceDE/>
        <w:autoSpaceDN/>
        <w:bidi w:val="0"/>
        <w:adjustRightInd/>
        <w:snapToGrid/>
        <w:spacing w:line="400" w:lineRule="exact"/>
        <w:ind w:firstLine="4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应服从采购人管理，接受采购人对项目的全程质量、进度检查、监督和定期与不定期考核，必须与采购人紧密配合，准确把握需求并快速响应用户、管理部门需求存在的变化。供应商所提交的服务方案、实施方案应经过严格的论证、科学合理可行，确保安全可靠，通过采购人考核、检查。如与要求不符，成交供应商必须无条件的整改。成交供应商必须按照行业专家及采购人提出的意见在采购人要求的时间内调整，保障提供优质的服务。</w:t>
      </w:r>
    </w:p>
    <w:p w14:paraId="5F0F0E6C">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、采购文件所述的内容为最低要求，供应商的服务内容、技术方案等应能全面适应（或超出）采购要求，不得降低采购标准和要求。</w:t>
      </w:r>
    </w:p>
    <w:p w14:paraId="6F16B7EC">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2"/>
        <w:rPr>
          <w:rFonts w:hint="default" w:ascii="宋体" w:hAnsi="宋体" w:eastAsia="宋体" w:cs="宋体"/>
          <w:color w:val="auto"/>
          <w:sz w:val="24"/>
          <w:highlight w:val="none"/>
          <w:shd w:val="clear" w:fill="FFFFFF"/>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w:t>
      </w:r>
      <w:r>
        <w:rPr>
          <w:rFonts w:ascii="宋体" w:hAnsi="宋体" w:eastAsia="宋体" w:cs="宋体"/>
          <w:color w:val="auto"/>
          <w:sz w:val="24"/>
          <w:highlight w:val="none"/>
          <w:shd w:val="clear" w:fill="FFFFFF"/>
        </w:rPr>
        <w:t>需要配备</w:t>
      </w:r>
      <w:r>
        <w:rPr>
          <w:rFonts w:hint="eastAsia" w:ascii="宋体" w:hAnsi="宋体" w:eastAsia="宋体" w:cs="宋体"/>
          <w:color w:val="auto"/>
          <w:sz w:val="24"/>
          <w:highlight w:val="none"/>
          <w:shd w:val="clear" w:fill="FFFFFF"/>
          <w:lang w:val="en-US" w:eastAsia="zh-CN"/>
        </w:rPr>
        <w:t>相应的</w:t>
      </w:r>
      <w:r>
        <w:rPr>
          <w:rFonts w:ascii="宋体" w:hAnsi="宋体" w:eastAsia="宋体" w:cs="宋体"/>
          <w:color w:val="auto"/>
          <w:sz w:val="24"/>
          <w:highlight w:val="none"/>
          <w:shd w:val="clear" w:fill="FFFFFF"/>
        </w:rPr>
        <w:t>人力及物力等，保证</w:t>
      </w:r>
      <w:r>
        <w:rPr>
          <w:rFonts w:hint="eastAsia" w:ascii="宋体" w:hAnsi="宋体" w:eastAsia="宋体" w:cs="宋体"/>
          <w:color w:val="auto"/>
          <w:sz w:val="24"/>
          <w:highlight w:val="none"/>
          <w:shd w:val="clear" w:fill="FFFFFF"/>
        </w:rPr>
        <w:t>新美街道农村一体化保洁</w:t>
      </w:r>
      <w:r>
        <w:rPr>
          <w:rFonts w:hint="eastAsia" w:ascii="宋体" w:hAnsi="宋体" w:eastAsia="宋体" w:cs="宋体"/>
          <w:color w:val="auto"/>
          <w:sz w:val="24"/>
          <w:highlight w:val="none"/>
          <w:shd w:val="clear" w:fill="FFFFFF"/>
          <w:lang w:val="en-US" w:eastAsia="zh-CN"/>
        </w:rPr>
        <w:t>服务</w:t>
      </w:r>
      <w:r>
        <w:rPr>
          <w:rFonts w:ascii="宋体" w:hAnsi="宋体" w:eastAsia="宋体" w:cs="宋体"/>
          <w:color w:val="auto"/>
          <w:sz w:val="24"/>
          <w:highlight w:val="none"/>
          <w:shd w:val="clear" w:fill="FFFFFF"/>
        </w:rPr>
        <w:t>工作</w:t>
      </w:r>
      <w:r>
        <w:rPr>
          <w:rFonts w:hint="eastAsia" w:ascii="宋体" w:hAnsi="宋体" w:eastAsia="宋体" w:cs="宋体"/>
          <w:color w:val="auto"/>
          <w:sz w:val="24"/>
          <w:highlight w:val="none"/>
          <w:shd w:val="clear" w:fill="FFFFFF"/>
          <w:lang w:val="en-US" w:eastAsia="zh-CN"/>
        </w:rPr>
        <w:t>的</w:t>
      </w:r>
      <w:r>
        <w:rPr>
          <w:rFonts w:ascii="宋体" w:hAnsi="宋体" w:eastAsia="宋体" w:cs="宋体"/>
          <w:color w:val="auto"/>
          <w:sz w:val="24"/>
          <w:highlight w:val="none"/>
          <w:shd w:val="clear" w:fill="FFFFFF"/>
        </w:rPr>
        <w:t>需要</w:t>
      </w:r>
      <w:r>
        <w:rPr>
          <w:rFonts w:hint="eastAsia" w:ascii="宋体" w:hAnsi="宋体" w:eastAsia="宋体" w:cs="宋体"/>
          <w:color w:val="auto"/>
          <w:sz w:val="24"/>
          <w:highlight w:val="none"/>
          <w:shd w:val="clear" w:fill="FFFFFF"/>
          <w:lang w:eastAsia="zh-CN"/>
        </w:rPr>
        <w:t>。</w:t>
      </w:r>
    </w:p>
    <w:p w14:paraId="5D170B8D">
      <w:pPr>
        <w:pStyle w:val="11"/>
        <w:keepNext w:val="0"/>
        <w:keepLines w:val="0"/>
        <w:pageBreakBefore w:val="0"/>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三、商务要求（以“★”标示的内容为不允许负偏离的实质性要求）</w:t>
      </w:r>
    </w:p>
    <w:tbl>
      <w:tblPr>
        <w:tblStyle w:val="8"/>
        <w:tblpPr w:leftFromText="180" w:rightFromText="180" w:vertAnchor="text" w:horzAnchor="page" w:tblpX="1398" w:tblpY="307"/>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3"/>
        <w:gridCol w:w="1100"/>
        <w:gridCol w:w="1314"/>
        <w:gridCol w:w="6051"/>
      </w:tblGrid>
      <w:tr w14:paraId="2EEBF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3" w:type="dxa"/>
          </w:tcPr>
          <w:p w14:paraId="34B38449">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0" w:type="dxa"/>
          </w:tcPr>
          <w:p w14:paraId="6490788F">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1314" w:type="dxa"/>
          </w:tcPr>
          <w:p w14:paraId="511B8C0D">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6051" w:type="dxa"/>
          </w:tcPr>
          <w:p w14:paraId="226C857A">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45AAB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3" w:type="dxa"/>
          </w:tcPr>
          <w:p w14:paraId="7E6A3C85">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0" w:type="dxa"/>
          </w:tcPr>
          <w:p w14:paraId="672BB0A6">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p>
        </w:tc>
        <w:tc>
          <w:tcPr>
            <w:tcW w:w="1314" w:type="dxa"/>
          </w:tcPr>
          <w:p w14:paraId="63C47F6D">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6051" w:type="dxa"/>
          </w:tcPr>
          <w:p w14:paraId="68B7342E">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服务期：自2026年04月01日起至2027年03月31日。</w:t>
            </w:r>
          </w:p>
        </w:tc>
      </w:tr>
      <w:tr w14:paraId="63150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3" w:type="dxa"/>
          </w:tcPr>
          <w:p w14:paraId="70F9E6EB">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0" w:type="dxa"/>
          </w:tcPr>
          <w:p w14:paraId="63524C7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314" w:type="dxa"/>
          </w:tcPr>
          <w:p w14:paraId="75B90CF2">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6051" w:type="dxa"/>
          </w:tcPr>
          <w:p w14:paraId="54164615">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服务地点：厦门市</w:t>
            </w:r>
            <w:r>
              <w:rPr>
                <w:rFonts w:hint="eastAsia" w:ascii="宋体" w:hAnsi="宋体" w:eastAsia="宋体" w:cs="宋体"/>
                <w:color w:val="auto"/>
                <w:sz w:val="24"/>
                <w:szCs w:val="24"/>
                <w:highlight w:val="none"/>
                <w:lang w:val="en-US" w:eastAsia="zh-CN"/>
              </w:rPr>
              <w:t>同安区</w:t>
            </w:r>
            <w:r>
              <w:rPr>
                <w:rFonts w:hint="eastAsia" w:ascii="宋体" w:hAnsi="宋体" w:eastAsia="宋体" w:cs="宋体"/>
                <w:color w:val="auto"/>
                <w:sz w:val="24"/>
                <w:szCs w:val="24"/>
                <w:highlight w:val="none"/>
              </w:rPr>
              <w:t>范围内采购人指定地点</w:t>
            </w:r>
          </w:p>
        </w:tc>
      </w:tr>
      <w:tr w14:paraId="063C9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3" w:type="dxa"/>
          </w:tcPr>
          <w:p w14:paraId="2860597B">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0" w:type="dxa"/>
          </w:tcPr>
          <w:p w14:paraId="4D2007C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314" w:type="dxa"/>
          </w:tcPr>
          <w:p w14:paraId="5FCDEBF4">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6051" w:type="dxa"/>
          </w:tcPr>
          <w:p w14:paraId="3E366515">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按招标文件及合同要求，经采购人验收合格</w:t>
            </w:r>
          </w:p>
        </w:tc>
      </w:tr>
      <w:tr w14:paraId="24B36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3" w:type="dxa"/>
          </w:tcPr>
          <w:p w14:paraId="15905648">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0" w:type="dxa"/>
          </w:tcPr>
          <w:p w14:paraId="0941B41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314" w:type="dxa"/>
          </w:tcPr>
          <w:p w14:paraId="605BB988">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6051" w:type="dxa"/>
          </w:tcPr>
          <w:p w14:paraId="10CC6F08">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73479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3" w:type="dxa"/>
          </w:tcPr>
          <w:p w14:paraId="5C61B59C">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0" w:type="dxa"/>
          </w:tcPr>
          <w:p w14:paraId="6639D20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314" w:type="dxa"/>
          </w:tcPr>
          <w:p w14:paraId="64CE6B1F">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6051" w:type="dxa"/>
          </w:tcPr>
          <w:p w14:paraId="7DBA1E58">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次1，说明：①验收依据：采购文件、响应文件、技术标准说明及国家有关的质量考核标准规定，均为本项目的验收考核依据。②采购人根据采购文件、成交供应商的响应文件、合同及中华人民共和国有关标准进行验收考核。③考核周期：按</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rPr>
              <w:t>进行考核，根据双方合同约定方式考核。④成交供应商在服务及验收考核过程中若有出现安全事故，其责任及相应的赔偿均由成交供应商自行承担，采购人不承担所有责任及义务。⑤验收考核过程所发生的一切费用由成交供应商承担。</w:t>
            </w:r>
          </w:p>
        </w:tc>
      </w:tr>
      <w:tr w14:paraId="749BD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3" w:type="dxa"/>
          </w:tcPr>
          <w:p w14:paraId="52139108">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0" w:type="dxa"/>
          </w:tcPr>
          <w:p w14:paraId="35A9A96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314" w:type="dxa"/>
          </w:tcPr>
          <w:p w14:paraId="184756BC">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6051" w:type="dxa"/>
            <w:shd w:val="clear" w:color="auto" w:fill="auto"/>
            <w:vAlign w:val="top"/>
          </w:tcPr>
          <w:p w14:paraId="357EF856">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Hans"/>
              </w:rPr>
              <w:t>付款方式详见本章其他商务要求的第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条“付款方式”，以本章其他商务要求的第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条“付款方式”为准，达到付款条件起</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Hans"/>
              </w:rPr>
              <w:t>日内，支付合同总金额的100.00%</w:t>
            </w:r>
          </w:p>
        </w:tc>
      </w:tr>
      <w:tr w14:paraId="605A2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3" w:type="dxa"/>
          </w:tcPr>
          <w:p w14:paraId="43949579">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00" w:type="dxa"/>
          </w:tcPr>
          <w:p w14:paraId="6F7C2C6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314" w:type="dxa"/>
          </w:tcPr>
          <w:p w14:paraId="70247FB7">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051" w:type="dxa"/>
          </w:tcPr>
          <w:p w14:paraId="3BE79B62">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不缴纳</w:t>
            </w:r>
          </w:p>
          <w:p w14:paraId="1DE180B7">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缴纳方式：无</w:t>
            </w:r>
          </w:p>
        </w:tc>
      </w:tr>
      <w:tr w14:paraId="0FD00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3" w:type="dxa"/>
          </w:tcPr>
          <w:p w14:paraId="1D92A2F9">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100" w:type="dxa"/>
          </w:tcPr>
          <w:p w14:paraId="0D2C3EC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314" w:type="dxa"/>
          </w:tcPr>
          <w:p w14:paraId="28951390">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p>
        </w:tc>
        <w:tc>
          <w:tcPr>
            <w:tcW w:w="6051" w:type="dxa"/>
          </w:tcPr>
          <w:p w14:paraId="38A029A1">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p>
        </w:tc>
      </w:tr>
    </w:tbl>
    <w:p w14:paraId="3333C0FC">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422D89BD">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14:paraId="1DEE58BB">
      <w:pPr>
        <w:pStyle w:val="11"/>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1、服务</w:t>
      </w:r>
      <w:r>
        <w:rPr>
          <w:rFonts w:hint="eastAsia" w:ascii="宋体" w:hAnsi="宋体" w:eastAsia="宋体" w:cs="宋体"/>
          <w:b/>
          <w:bCs/>
          <w:color w:val="auto"/>
          <w:sz w:val="24"/>
          <w:szCs w:val="24"/>
          <w:highlight w:val="none"/>
        </w:rPr>
        <w:t>费用</w:t>
      </w:r>
    </w:p>
    <w:p w14:paraId="077E070F">
      <w:pPr>
        <w:pStyle w:val="11"/>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1.1服务</w:t>
      </w:r>
      <w:r>
        <w:rPr>
          <w:rFonts w:hint="eastAsia" w:ascii="宋体" w:hAnsi="宋体" w:eastAsia="宋体" w:cs="宋体"/>
          <w:color w:val="auto"/>
          <w:sz w:val="24"/>
          <w:szCs w:val="24"/>
          <w:highlight w:val="none"/>
        </w:rPr>
        <w:t>费用标准（预估550万元/年，实际以中标价格为准）：</w:t>
      </w:r>
    </w:p>
    <w:p w14:paraId="04C21501">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①环卫保洁、垃圾分类上门收集、垃圾转运，人员配置需满足作业要求（后宅社区、禾山社区、凤南社区、南山村、土楼村、后坂村、新塘村）。</w:t>
      </w:r>
    </w:p>
    <w:p w14:paraId="72E11D95">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②32座公厕保洁管养（另有新塘村及后坂村于2025年各新建一座公厕，目前还未纳入此次经费下拨范畴，相关费用待区级下拨后再根据标准给予下达）。</w:t>
      </w:r>
    </w:p>
    <w:p w14:paraId="75211641">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③16条垃圾分类上门收集线路（南山村、土楼村、后坂村）。</w:t>
      </w:r>
    </w:p>
    <w:p w14:paraId="0D4BB07A">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④街道辖区“门前三包”各项工作(除梧侣社区外)。</w:t>
      </w:r>
    </w:p>
    <w:p w14:paraId="085BF865">
      <w:pPr>
        <w:pStyle w:val="11"/>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以上服务费用包括但不限于人工费用（包括但不限于中标方的环卫工人基础工资（含社医保）/劳务报酬、人身意外伤害险、高温津贴、岗位津贴、日常加班费、过节费等）、公厕冲洗设备、公厕零星维修费、转运车辆维修、保险、保养、垃圾桶清洗消失维护、分类督导费、垃圾转运站周边场地保洁费、管理费及合理利润等中标方完成本合同相关任务的一切费用。</w:t>
      </w:r>
    </w:p>
    <w:p w14:paraId="3BDF9445">
      <w:pPr>
        <w:pStyle w:val="11"/>
        <w:keepNext w:val="0"/>
        <w:keepLines w:val="0"/>
        <w:pageBreakBefore w:val="0"/>
        <w:kinsoku/>
        <w:wordWrap/>
        <w:overflowPunct/>
        <w:topLinePunct w:val="0"/>
        <w:autoSpaceDE/>
        <w:autoSpaceDN/>
        <w:bidi w:val="0"/>
        <w:adjustRightInd/>
        <w:snapToGrid/>
        <w:spacing w:line="400" w:lineRule="exact"/>
        <w:ind w:firstLine="241" w:firstLineChars="1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1.3报价要求：</w:t>
      </w:r>
    </w:p>
    <w:p w14:paraId="09105DD9">
      <w:pPr>
        <w:pStyle w:val="11"/>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①本项目控制价为</w:t>
      </w:r>
      <w:r>
        <w:rPr>
          <w:rFonts w:hint="eastAsia" w:ascii="宋体" w:hAnsi="宋体" w:eastAsia="宋体" w:cs="宋体"/>
          <w:color w:val="auto"/>
          <w:sz w:val="24"/>
          <w:szCs w:val="24"/>
          <w:highlight w:val="none"/>
          <w:lang w:val="en-US" w:eastAsia="zh-CN"/>
        </w:rPr>
        <w:t>550万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控制价为投标报价的最高限价，投标报价超过采购控制价的视为无效投标。</w:t>
      </w:r>
    </w:p>
    <w:p w14:paraId="318146DB">
      <w:pPr>
        <w:pStyle w:val="11"/>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②</w:t>
      </w:r>
      <w:r>
        <w:rPr>
          <w:rFonts w:hint="default" w:ascii="宋体" w:hAnsi="宋体" w:eastAsia="宋体" w:cs="宋体"/>
          <w:color w:val="auto"/>
          <w:sz w:val="24"/>
          <w:szCs w:val="24"/>
          <w:highlight w:val="none"/>
          <w:lang w:val="en-US" w:eastAsia="zh-CN"/>
        </w:rPr>
        <w:t>本次采购为整体采购，投标人必须对采购项目的所有内容及要求进行报价。拆分报价或不完整响应的，投标无效。</w:t>
      </w:r>
    </w:p>
    <w:p w14:paraId="56BB6DFD">
      <w:pPr>
        <w:pStyle w:val="11"/>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③</w:t>
      </w:r>
      <w:r>
        <w:rPr>
          <w:rFonts w:hint="default" w:ascii="宋体" w:hAnsi="宋体" w:eastAsia="宋体" w:cs="宋体"/>
          <w:color w:val="auto"/>
          <w:sz w:val="24"/>
          <w:szCs w:val="24"/>
          <w:highlight w:val="none"/>
          <w:lang w:val="en-US" w:eastAsia="zh-CN"/>
        </w:rPr>
        <w:t>供应商漏报的单价或每单价报价中漏报、少报的费用，视为此项费用已隐含在投标报价中，成交后不得再向采购人收取任何费用。</w:t>
      </w:r>
    </w:p>
    <w:p w14:paraId="66440EE0">
      <w:pPr>
        <w:pStyle w:val="11"/>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w:t>
      </w:r>
      <w:r>
        <w:rPr>
          <w:rFonts w:hint="default" w:ascii="宋体" w:hAnsi="宋体" w:eastAsia="宋体" w:cs="宋体"/>
          <w:color w:val="auto"/>
          <w:sz w:val="24"/>
          <w:szCs w:val="24"/>
          <w:highlight w:val="none"/>
          <w:lang w:val="en-US" w:eastAsia="zh-CN"/>
        </w:rPr>
        <w:t>投标人对本项目只能有一个报价，本项目不接受有选择的报价。</w:t>
      </w:r>
    </w:p>
    <w:p w14:paraId="1C52EA5E">
      <w:pPr>
        <w:pStyle w:val="11"/>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付款方式</w:t>
      </w:r>
    </w:p>
    <w:p w14:paraId="20BD390C">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费用按照如下方式进行支付：</w:t>
      </w:r>
    </w:p>
    <w:p w14:paraId="01EDC5BF">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（1）月度环卫工人工资支付方式：</w:t>
      </w:r>
    </w:p>
    <w:p w14:paraId="00022053">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根据《福建省住建和城市建设厅等5部门关于印发&lt;福建省环卫工人工资保障机制（试行）&gt;的通知》（闽建管【2024】13号）的相关规定进行按月支付。</w:t>
      </w:r>
    </w:p>
    <w:p w14:paraId="4222EC90">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（2）剩余</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费用支付方式：</w:t>
      </w:r>
    </w:p>
    <w:p w14:paraId="54AFE207">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季度尾款结算：待上级部门拨付相应款项至我方后，结合每个季度综合考评成绩评定，并经双方共同确认该季度应付</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费用，扣除已支付的人工费用（工资款）后，我方于20个工作日内结算该自然季度</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费用尾款。</w:t>
      </w:r>
    </w:p>
    <w:p w14:paraId="1C149665">
      <w:pPr>
        <w:pStyle w:val="11"/>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双方权利义务</w:t>
      </w:r>
    </w:p>
    <w:p w14:paraId="4D48406D">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1我方权利义务</w:t>
      </w:r>
    </w:p>
    <w:p w14:paraId="100BA90C">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（1）我方是保洁一体化管养的责任主体，负责日常管理工作，每月对辖区一体化保洁情况进行自评，并督促落实整改。同时发动村（居）参与日常监管，将村（居）民满意度纳入考核要素。</w:t>
      </w:r>
    </w:p>
    <w:p w14:paraId="4601B4FC">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有权对中标方业务工作进行指导和监督，我方及其上级环卫行政主管部门和环卫专业管理部门有权组织对中标方作业质量、文明、安全作业情况进行定期检查考评，有权查阅、复制承揽项目的有关文件和资料以及进入现场开展检查，但不得干扰中标方的正常作业。</w:t>
      </w:r>
    </w:p>
    <w:p w14:paraId="58F24073">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中标方经营管理不善，擅自停业歇业，严重影响社会公共利益，或因中标方作业过程造成重大环境污染及有其它重大、紧急情况可能危及公共安全的，我方有权单方解除合同且不承担任何责任及违约金，并可指派他人临时接管中标方的承揽项目。由此造成的经济损失及我方因此支付的费用由中标方赔偿。</w:t>
      </w:r>
    </w:p>
    <w:p w14:paraId="0AE6F010">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（4）我方有权协同劳动监察部门对中标方用工情况进行检查，有权要求中标方按承揽要求保障作业人员的福利待遇。我方不承担任何由于中标方未办理劳动关系产生的纠纷责任。</w:t>
      </w:r>
    </w:p>
    <w:p w14:paraId="2A82B01E">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（5）我方应积极协助中标方解决在承揽期内出现的业务工作上的困难和问题。</w:t>
      </w:r>
    </w:p>
    <w:p w14:paraId="5070B64B">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（6）我方应根据本合同的要求将承揽费用拨付至中标方（涉及到我方上级部门资金下达问题造成的延误不构成违约）。</w:t>
      </w:r>
    </w:p>
    <w:p w14:paraId="2B3BCA5F">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2中标方权利义务</w:t>
      </w:r>
    </w:p>
    <w:p w14:paraId="4D22F8BE">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（1）中标方依照本合同规定的作业形式、作业质量标准及行业有关作业规范、作业质量标准，按时、保质、保量完成所承揽作业项目范围、承揽事项的工作。</w:t>
      </w:r>
    </w:p>
    <w:p w14:paraId="40421FF0">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方应按《中华人民共和国劳动合同法》等相关法律法规与环卫工人确立合法的用工关系，依法与环卫工人签订劳动合同；若遇已达法定退休年龄的，中标方应按《中华人民共和国民法典》等相关法律法规与其签订劳务合同。并将环卫工人名单及相关合同报我方备案，中标方聘用的人员与我方不存在用工关系。中标方应根据实际情况进行作业安排，制定作息时间，保证作业质量，但不得违反劳动法规的规定。</w:t>
      </w:r>
    </w:p>
    <w:p w14:paraId="7A3E096A">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（3）中标方须合法经营，负责做好环卫工人岗位培训，加强安全作业教育和技能培训，确保作业安全和质量达到要求，承揽期内如发生责任事故、违反法律法规或其它意外事故的均由中标方自行负责。</w:t>
      </w:r>
    </w:p>
    <w:p w14:paraId="16A8C48A">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方应依法为符合条件的环卫工人办理各项社会保险，包括基本养老保险、医疗保险、失业保险、工伤保险和生育保险，做到应保尽保，及时足额缴纳社会保险费。中标方在为环卫工人办理工伤保险的基础上，应补充购买商业意外伤害险或雇主责任险等保障额度不得低于60万元/年的商业保险。</w:t>
      </w:r>
    </w:p>
    <w:p w14:paraId="043FE768">
      <w:pPr>
        <w:pStyle w:val="11"/>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考评办法</w:t>
      </w:r>
    </w:p>
    <w:p w14:paraId="72FDC84D">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每月接受市、区、街道等行业主管部门的监督考核，并结合媒体曝光和群众投诉情况计算当月考评结果。考核办法和考评细则依据市、区规定的标准执行。</w:t>
      </w:r>
    </w:p>
    <w:p w14:paraId="736210E7">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日常管理考核</w:t>
      </w:r>
    </w:p>
    <w:p w14:paraId="1BBB9ACC">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我方及上级主管部门发出的整改通知书及相关投诉（包括但不限于纸质整改通知书、电子版整改通知书或其他形式的整改要求或投诉），中标方必须在限期内整改到位并将整改情况反馈至我方。月累计限期整改不到位或反馈不及时的，第一次扣罚500元，第二次扣罚1000元（以此类推）。</w:t>
      </w:r>
    </w:p>
    <w:p w14:paraId="7EAEE68B">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（2）我方巡查过程发现中标方存在以下行为，按100元/次扣罚。</w:t>
      </w:r>
    </w:p>
    <w:p w14:paraId="2BA9982C">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①作业人员未穿全套工服、穿拖鞋（按每人次扣罚）；</w:t>
      </w:r>
    </w:p>
    <w:p w14:paraId="581D7F5E">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②作业人员作业期间收拾废品或脱岗（按每人次收取）；</w:t>
      </w:r>
    </w:p>
    <w:p w14:paraId="36728953">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③作业人员不配合垃圾分类上门收集或直运工作（按每次收取）；</w:t>
      </w:r>
    </w:p>
    <w:p w14:paraId="586B9358">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④责任范围内存在不规范垃圾堆放点（按每处收取）；</w:t>
      </w:r>
    </w:p>
    <w:p w14:paraId="23CE91E7">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⑤作业人员焚烧垃圾（按每处收取）；</w:t>
      </w:r>
    </w:p>
    <w:p w14:paraId="66EBC3A4">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⑥作业人员将垃圾倾倒到雨水篦、边沟、绿化带中（按每次收取，同时中标方负责清理取证点前后各500米道路范围内被倾倒的垃圾）；</w:t>
      </w:r>
    </w:p>
    <w:p w14:paraId="00F48FF0">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⑦垃圾收集转运车标识不规范、不清晰，车辆脏乱、超高、超限（按车次收取）；</w:t>
      </w:r>
    </w:p>
    <w:p w14:paraId="61507D13">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⑧公厕未遵守对外服务时间、未正常开放、乱收费（按每次收取）；</w:t>
      </w:r>
    </w:p>
    <w:p w14:paraId="229B6FD3">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⑨作业人员在公厕洗衣淘菜、乱搭水电、搭线充电动车（按每次收取）；</w:t>
      </w:r>
    </w:p>
    <w:p w14:paraId="32E7387D">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⑩残障间或第三卫生间上锁、未对外开放、被违规占用或堆放杂物（按每次收取）；</w:t>
      </w:r>
    </w:p>
    <w:p w14:paraId="7E1E1515">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⑪公厕设施设备损坏后 (除地板瓷砖、墙体等主体结构性硬件设施损坏项目以外的其他设施设备损坏项目: 如灯泡、开关、门把手、水龙头、应急铃等），中标方未在48小时内修复；公厕设施设备中标方不能修复的，中标方未及时上报我方登记报备（按每处收取）；</w:t>
      </w:r>
    </w:p>
    <w:p w14:paraId="5B3E189B">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⑫做好垃圾桶日常保洁维护工作，日常巡查过程中发现桶脏或者破损未及时更换维护的（按每次收取）；</w:t>
      </w:r>
    </w:p>
    <w:p w14:paraId="233BE4B7">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⑬分类垃圾桶未成组整齐摆放，实行上门收集村居原则上不设置垃圾桶点位，有特殊情况除外（按每处收取）。</w:t>
      </w:r>
    </w:p>
    <w:p w14:paraId="00A0A082">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月综合考评：</w:t>
      </w:r>
    </w:p>
    <w:p w14:paraId="7D9A8537">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（1）月综合考评成绩采用百分制，计算公式为：当月考评综合得分 = 街道自评综合得分×50% + 市级考评综合得分×30% + 区级考评综合得分×20%）。具体如下：</w:t>
      </w:r>
    </w:p>
    <w:p w14:paraId="0672E21B">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①如当月无市级考评，则街道自评得分和区考评得分按8:2权重计入当月考评综合得分。</w:t>
      </w:r>
    </w:p>
    <w:p w14:paraId="6499AB67">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②如当月无区级考评，则街道自评得分和市考评得分按7:3权重计入当月考评综合得分。</w:t>
      </w:r>
    </w:p>
    <w:p w14:paraId="212738D6">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③如当月无市、区级考评，则街道自评得分按100%权重计入当月考评综合得分。</w:t>
      </w:r>
    </w:p>
    <w:p w14:paraId="6B517288">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（2）考评综合得分按分项计算，各级月考评得分为当月各级考评分项成绩的平均值。具体如下：</w:t>
      </w:r>
    </w:p>
    <w:p w14:paraId="55787438">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①当月考评分项综合得分在85分（含本数）以上，扣除工资专户以外的承揽费用按100%全额拨付承揽费用。</w:t>
      </w:r>
    </w:p>
    <w:p w14:paraId="309AD924">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②当月考评分项综合得分85分（不含本数）以下，达到及格（70分）等级的，扣除工资专户以外的承揽费用按95%拨付承揽费用。</w:t>
      </w:r>
    </w:p>
    <w:p w14:paraId="0BE145E0">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③当月考评综合分项得分在70分（不含本数）以下，扣除工资专户以外的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费用按90%拨付承揽费用。</w:t>
      </w:r>
    </w:p>
    <w:p w14:paraId="45141BDF">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年度综合考评</w:t>
      </w:r>
    </w:p>
    <w:p w14:paraId="6928B316">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市、区行业主管部门、区城管办等上级单位的年终考核及奖罚情况同步街道对中标单位进行奖罚。</w:t>
      </w:r>
    </w:p>
    <w:p w14:paraId="0F4AC6C8">
      <w:pPr>
        <w:pStyle w:val="11"/>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违约责任</w:t>
      </w:r>
    </w:p>
    <w:p w14:paraId="5843E95F">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如我方经中标方催告无正当理由不按合同约定及时向中标方支付相应款项，则被视为违约（上级资金未下达的情况下视为不违约）。从违约之日起，按逾期付款金额及合同订立时1年期贷款市场报价利率计算逾期违约金，违约金上限为逾期付款金额的5%。</w:t>
      </w:r>
    </w:p>
    <w:p w14:paraId="5BD2DD94">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期间，中标方有下列行为之一的，我方有权单方解除合同，并要求中标方承担本合同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费用30%的违约金。</w:t>
      </w:r>
    </w:p>
    <w:p w14:paraId="10A7DAC0">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（1）中标方不得以任何形式（包含切块分包、购买服务事项、购买服务人员等）将所承揽任务转包或分包给第三方。</w:t>
      </w:r>
    </w:p>
    <w:p w14:paraId="72E5F1A6">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（2）中标方未遵守国家法律、法规，从事非法经营或活动；或被工商勒令停业的。</w:t>
      </w:r>
    </w:p>
    <w:p w14:paraId="6831C51D">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（3）由于中标方自身原因，导致中标方不能从事环卫作业项目服务的。</w:t>
      </w:r>
    </w:p>
    <w:p w14:paraId="0EF1D579">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（4）中标方连续两次市级或区级考评成绩在70分（不含70分）以下的，或年度平均考评成绩在85分（不含85分）以下的，及在重大活动期间因清扫保洁和管理不到位造成重大影响的行为。</w:t>
      </w:r>
    </w:p>
    <w:p w14:paraId="7786938F">
      <w:pPr>
        <w:pStyle w:val="11"/>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（5）中标方存在未按时足额发放给环卫工人工资/报酬、劳动用品、补贴福利以及未按厦门市相关规定为符合条件的环卫工人缴交社会保险等违反劳动法律法规、政策文件规定的行为。</w:t>
      </w:r>
    </w:p>
    <w:p w14:paraId="302CD2F7">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商务响应要求</w:t>
      </w:r>
    </w:p>
    <w:p w14:paraId="28A91F36">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6.1供应商具有质量管理体系认证证书、职业健康安全管理体系认证证书、环境管理体系认证证书、生活垃圾分类服务能力认证证书的。须提供认证证书扫描件，并承诺可通过全国认证认可信息公共服务平台(网址:sxcea.s)古询证书状态为有效</w:t>
      </w:r>
    </w:p>
    <w:p w14:paraId="37AFE365">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6.2供应商承诺2023年1月1日以来未因违反劳动保障法律法规受到人力保障和社会保障部门的行政处罚（未达到重大违法情形）。</w:t>
      </w:r>
    </w:p>
    <w:p w14:paraId="3A84D60E">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6.3供应商承诺派驻工作人员不得有损害采购人社会形象的言行。</w:t>
      </w:r>
    </w:p>
    <w:p w14:paraId="54007B22">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6.4供应商承诺成交后，为投入的所有服务人员购买商业意外伤害险或雇主责任险等保障额度不得低于60万元/年（保险期至少覆盖本项目服务期）。</w:t>
      </w:r>
    </w:p>
    <w:p w14:paraId="05475C1F">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6.5供应商承诺除一般资格证明条件“重大违法记录”的情形外，自2021年1月1日以来未受到任何与环卫保洁或垃圾清运服务有关的行政处罚,若中标后发现供应商在上述期间内存在行政处罚的情形，将按虚假应标追究其责任。</w:t>
      </w:r>
    </w:p>
    <w:p w14:paraId="51E5B04C">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6.6供应商针对本项目受相关政府监督平台发现及群众举报的问题处理预案，包含但不限于投诉处理的流程、执行标准、反馈机制。</w:t>
      </w:r>
    </w:p>
    <w:p w14:paraId="747E9E79">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6.7供应商应提供 2021年1月1日（以合同签订时间为准）以来承担过的类似</w:t>
      </w:r>
    </w:p>
    <w:p w14:paraId="404B9FC6">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业绩。</w:t>
      </w:r>
    </w:p>
    <w:p w14:paraId="656B1DDC">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6.8供应商应提供 2021年1月1日（以合同签订时间为准）以来，服务过同类</w:t>
      </w:r>
    </w:p>
    <w:p w14:paraId="1A4F6D6D">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型项目且获得业主好评。</w:t>
      </w:r>
    </w:p>
    <w:p w14:paraId="3EBCFCE3">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val="en-US" w:eastAsia="zh-CN"/>
        </w:rPr>
      </w:pPr>
    </w:p>
    <w:p w14:paraId="3FD8D4E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b w:val="0"/>
          <w:bCs/>
          <w:color w:val="auto"/>
          <w:sz w:val="24"/>
          <w:szCs w:val="24"/>
          <w:highlight w:val="none"/>
          <w:lang w:val="en-US" w:eastAsia="zh-CN"/>
        </w:rPr>
      </w:pPr>
    </w:p>
    <w:p w14:paraId="0BCACFFD">
      <w:pPr>
        <w:pStyle w:val="11"/>
        <w:jc w:val="both"/>
        <w:rPr>
          <w:rFonts w:hint="eastAsia"/>
          <w:color w:val="auto"/>
          <w:sz w:val="24"/>
          <w:szCs w:val="24"/>
          <w:highlight w:val="none"/>
          <w:lang w:val="en-US" w:eastAsia="zh-CN"/>
        </w:rPr>
      </w:pPr>
    </w:p>
    <w:p w14:paraId="7E7306EF">
      <w:pPr>
        <w:pStyle w:val="11"/>
        <w:ind w:firstLine="480" w:firstLineChars="200"/>
        <w:jc w:val="both"/>
        <w:rPr>
          <w:rFonts w:hint="eastAsia"/>
          <w:color w:val="auto"/>
          <w:sz w:val="24"/>
          <w:szCs w:val="24"/>
          <w:highlight w:val="none"/>
        </w:rPr>
      </w:pPr>
      <w:r>
        <w:rPr>
          <w:rFonts w:hint="eastAsia"/>
          <w:color w:val="auto"/>
          <w:sz w:val="24"/>
          <w:szCs w:val="24"/>
          <w:highlight w:val="none"/>
          <w:lang w:val="en-US" w:eastAsia="zh-CN"/>
        </w:rPr>
        <w:t>附件1</w:t>
      </w:r>
    </w:p>
    <w:tbl>
      <w:tblPr>
        <w:tblStyle w:val="8"/>
        <w:tblW w:w="92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7"/>
        <w:gridCol w:w="7057"/>
        <w:gridCol w:w="972"/>
      </w:tblGrid>
      <w:tr w14:paraId="688D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206" w:type="dxa"/>
            <w:gridSpan w:val="3"/>
            <w:tcBorders>
              <w:top w:val="nil"/>
              <w:left w:val="nil"/>
              <w:bottom w:val="single" w:color="auto" w:sz="4" w:space="0"/>
              <w:right w:val="nil"/>
            </w:tcBorders>
            <w:shd w:val="clear" w:color="auto" w:fill="auto"/>
            <w:noWrap/>
            <w:vAlign w:val="center"/>
          </w:tcPr>
          <w:p w14:paraId="5352E796">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城乡接合部市容管理考评标准</w:t>
            </w:r>
          </w:p>
        </w:tc>
      </w:tr>
      <w:tr w14:paraId="4EFF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77" w:type="dxa"/>
            <w:tcBorders>
              <w:top w:val="nil"/>
              <w:left w:val="single" w:color="auto" w:sz="4" w:space="0"/>
              <w:bottom w:val="single" w:color="auto" w:sz="4" w:space="0"/>
              <w:right w:val="single" w:color="auto" w:sz="4" w:space="0"/>
            </w:tcBorders>
            <w:shd w:val="clear" w:color="auto" w:fill="auto"/>
            <w:vAlign w:val="center"/>
          </w:tcPr>
          <w:p w14:paraId="7FCECA3A">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考评内容</w:t>
            </w:r>
          </w:p>
        </w:tc>
        <w:tc>
          <w:tcPr>
            <w:tcW w:w="7057" w:type="dxa"/>
            <w:tcBorders>
              <w:top w:val="nil"/>
              <w:left w:val="nil"/>
              <w:bottom w:val="single" w:color="auto" w:sz="4" w:space="0"/>
              <w:right w:val="single" w:color="auto" w:sz="4" w:space="0"/>
            </w:tcBorders>
            <w:shd w:val="clear" w:color="auto" w:fill="auto"/>
            <w:vAlign w:val="center"/>
          </w:tcPr>
          <w:p w14:paraId="4C8435C5">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评分标准</w:t>
            </w:r>
          </w:p>
        </w:tc>
        <w:tc>
          <w:tcPr>
            <w:tcW w:w="972" w:type="dxa"/>
            <w:tcBorders>
              <w:top w:val="nil"/>
              <w:left w:val="nil"/>
              <w:bottom w:val="single" w:color="auto" w:sz="4" w:space="0"/>
              <w:right w:val="single" w:color="auto" w:sz="4" w:space="0"/>
            </w:tcBorders>
            <w:shd w:val="clear" w:color="auto" w:fill="auto"/>
            <w:vAlign w:val="center"/>
          </w:tcPr>
          <w:p w14:paraId="6E57EC19">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满分</w:t>
            </w:r>
          </w:p>
        </w:tc>
      </w:tr>
      <w:tr w14:paraId="1C7E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7" w:type="dxa"/>
            <w:vMerge w:val="restart"/>
            <w:tcBorders>
              <w:top w:val="nil"/>
              <w:left w:val="single" w:color="auto" w:sz="4" w:space="0"/>
              <w:bottom w:val="single" w:color="auto" w:sz="4" w:space="0"/>
              <w:right w:val="single" w:color="auto" w:sz="4" w:space="0"/>
            </w:tcBorders>
            <w:shd w:val="clear" w:color="auto" w:fill="auto"/>
            <w:vAlign w:val="center"/>
          </w:tcPr>
          <w:p w14:paraId="65E534C3">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环境卫生</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(50分)</w:t>
            </w:r>
          </w:p>
        </w:tc>
        <w:tc>
          <w:tcPr>
            <w:tcW w:w="7057" w:type="dxa"/>
            <w:tcBorders>
              <w:top w:val="nil"/>
              <w:left w:val="nil"/>
              <w:bottom w:val="single" w:color="auto" w:sz="4" w:space="0"/>
              <w:right w:val="single" w:color="auto" w:sz="4" w:space="0"/>
            </w:tcBorders>
            <w:shd w:val="clear" w:color="auto" w:fill="auto"/>
            <w:vAlign w:val="center"/>
          </w:tcPr>
          <w:p w14:paraId="026F26D9">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1.环卫工人身着识别装或统一标志上岗。不合格扣3分。</w:t>
            </w:r>
          </w:p>
        </w:tc>
        <w:tc>
          <w:tcPr>
            <w:tcW w:w="972" w:type="dxa"/>
            <w:vMerge w:val="restart"/>
            <w:tcBorders>
              <w:top w:val="nil"/>
              <w:left w:val="nil"/>
              <w:bottom w:val="single" w:color="auto" w:sz="4" w:space="0"/>
              <w:right w:val="single" w:color="auto" w:sz="4" w:space="0"/>
            </w:tcBorders>
            <w:shd w:val="clear" w:color="auto" w:fill="auto"/>
            <w:vAlign w:val="center"/>
          </w:tcPr>
          <w:p w14:paraId="0E74B055">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50分</w:t>
            </w:r>
          </w:p>
        </w:tc>
      </w:tr>
      <w:tr w14:paraId="1272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1177" w:type="dxa"/>
            <w:vMerge w:val="continue"/>
            <w:tcBorders>
              <w:top w:val="nil"/>
              <w:left w:val="single" w:color="auto" w:sz="4" w:space="0"/>
              <w:bottom w:val="single" w:color="auto" w:sz="4" w:space="0"/>
              <w:right w:val="single" w:color="auto" w:sz="4" w:space="0"/>
            </w:tcBorders>
            <w:shd w:val="clear" w:color="auto" w:fill="auto"/>
            <w:vAlign w:val="center"/>
          </w:tcPr>
          <w:p w14:paraId="2509EE8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57" w:type="dxa"/>
            <w:tcBorders>
              <w:top w:val="nil"/>
              <w:left w:val="nil"/>
              <w:bottom w:val="single" w:color="auto" w:sz="4" w:space="0"/>
              <w:right w:val="single" w:color="auto" w:sz="4" w:space="0"/>
            </w:tcBorders>
            <w:shd w:val="clear" w:color="auto" w:fill="auto"/>
            <w:vAlign w:val="center"/>
          </w:tcPr>
          <w:p w14:paraId="11118F4F">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2.道路（含各类巷道、空地）、公共活动场所和公共绿地干净整洁。积存果皮、纸屑等废弃物每处扣1-2分，地面、墙面有明显污渍每处扣1-2分，路肩、路旁杂草丛生或存在卫生死角每处视情况扣2-4分。</w:t>
            </w:r>
          </w:p>
        </w:tc>
        <w:tc>
          <w:tcPr>
            <w:tcW w:w="972" w:type="dxa"/>
            <w:vMerge w:val="continue"/>
            <w:tcBorders>
              <w:top w:val="nil"/>
              <w:left w:val="nil"/>
              <w:bottom w:val="single" w:color="auto" w:sz="4" w:space="0"/>
              <w:right w:val="single" w:color="auto" w:sz="4" w:space="0"/>
            </w:tcBorders>
            <w:shd w:val="clear" w:color="auto" w:fill="auto"/>
            <w:vAlign w:val="center"/>
          </w:tcPr>
          <w:p w14:paraId="3C97032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F35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1177" w:type="dxa"/>
            <w:vMerge w:val="continue"/>
            <w:tcBorders>
              <w:top w:val="nil"/>
              <w:left w:val="single" w:color="auto" w:sz="4" w:space="0"/>
              <w:bottom w:val="single" w:color="auto" w:sz="4" w:space="0"/>
              <w:right w:val="single" w:color="auto" w:sz="4" w:space="0"/>
            </w:tcBorders>
            <w:shd w:val="clear" w:color="auto" w:fill="auto"/>
            <w:vAlign w:val="center"/>
          </w:tcPr>
          <w:p w14:paraId="0157106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57" w:type="dxa"/>
            <w:tcBorders>
              <w:top w:val="nil"/>
              <w:left w:val="nil"/>
              <w:bottom w:val="single" w:color="auto" w:sz="4" w:space="0"/>
              <w:right w:val="single" w:color="auto" w:sz="4" w:space="0"/>
            </w:tcBorders>
            <w:shd w:val="clear" w:color="auto" w:fill="auto"/>
            <w:vAlign w:val="center"/>
          </w:tcPr>
          <w:p w14:paraId="3EFA9FB4">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3.水沟、窨井口干净，水体（湖、塘、池、渠等）流通、清洁。窨井口有污渍或水面有漂浮物每处视情况扣1-2分；水沟或窨井堵塞、污水漫流、水体脏乱严重每处视情况扣2-3分。</w:t>
            </w:r>
          </w:p>
        </w:tc>
        <w:tc>
          <w:tcPr>
            <w:tcW w:w="972" w:type="dxa"/>
            <w:vMerge w:val="continue"/>
            <w:tcBorders>
              <w:top w:val="nil"/>
              <w:left w:val="nil"/>
              <w:bottom w:val="single" w:color="auto" w:sz="4" w:space="0"/>
              <w:right w:val="single" w:color="auto" w:sz="4" w:space="0"/>
            </w:tcBorders>
            <w:shd w:val="clear" w:color="auto" w:fill="auto"/>
            <w:vAlign w:val="center"/>
          </w:tcPr>
          <w:p w14:paraId="478793D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EB1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77" w:type="dxa"/>
            <w:vMerge w:val="continue"/>
            <w:tcBorders>
              <w:top w:val="nil"/>
              <w:left w:val="single" w:color="auto" w:sz="4" w:space="0"/>
              <w:bottom w:val="single" w:color="auto" w:sz="4" w:space="0"/>
              <w:right w:val="single" w:color="auto" w:sz="4" w:space="0"/>
            </w:tcBorders>
            <w:shd w:val="clear" w:color="auto" w:fill="auto"/>
            <w:vAlign w:val="center"/>
          </w:tcPr>
          <w:p w14:paraId="6BE4BC92">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57" w:type="dxa"/>
            <w:tcBorders>
              <w:top w:val="nil"/>
              <w:left w:val="nil"/>
              <w:bottom w:val="single" w:color="auto" w:sz="4" w:space="0"/>
              <w:right w:val="single" w:color="auto" w:sz="4" w:space="0"/>
            </w:tcBorders>
            <w:shd w:val="clear" w:color="auto" w:fill="auto"/>
            <w:vAlign w:val="center"/>
          </w:tcPr>
          <w:p w14:paraId="7CAF3F87">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4.雨阳棚及空中立面整洁。雨阳棚积存垃圾、空中立面有悬挂废弃物等现象的每处视情况扣1-2分。</w:t>
            </w:r>
          </w:p>
        </w:tc>
        <w:tc>
          <w:tcPr>
            <w:tcW w:w="972" w:type="dxa"/>
            <w:vMerge w:val="continue"/>
            <w:tcBorders>
              <w:top w:val="nil"/>
              <w:left w:val="nil"/>
              <w:bottom w:val="single" w:color="auto" w:sz="4" w:space="0"/>
              <w:right w:val="single" w:color="auto" w:sz="4" w:space="0"/>
            </w:tcBorders>
            <w:shd w:val="clear" w:color="auto" w:fill="auto"/>
            <w:vAlign w:val="center"/>
          </w:tcPr>
          <w:p w14:paraId="3D56BC5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4B5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1177" w:type="dxa"/>
            <w:vMerge w:val="continue"/>
            <w:tcBorders>
              <w:top w:val="nil"/>
              <w:left w:val="single" w:color="auto" w:sz="4" w:space="0"/>
              <w:bottom w:val="single" w:color="auto" w:sz="4" w:space="0"/>
              <w:right w:val="single" w:color="auto" w:sz="4" w:space="0"/>
            </w:tcBorders>
            <w:shd w:val="clear" w:color="auto" w:fill="auto"/>
            <w:vAlign w:val="center"/>
          </w:tcPr>
          <w:p w14:paraId="54B0E30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57" w:type="dxa"/>
            <w:tcBorders>
              <w:top w:val="nil"/>
              <w:left w:val="nil"/>
              <w:bottom w:val="single" w:color="auto" w:sz="4" w:space="0"/>
              <w:right w:val="single" w:color="auto" w:sz="4" w:space="0"/>
            </w:tcBorders>
            <w:shd w:val="clear" w:color="auto" w:fill="auto"/>
            <w:vAlign w:val="center"/>
          </w:tcPr>
          <w:p w14:paraId="3220EA1E">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5.生活垃圾收集容器、垃圾中转站(点)规范设置，垃圾清运及时。</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 xml:space="preserve"> (1)设置适量垃圾容器，垃圾容器密闭且整洁、完好。未能保持密闭、整洁、完好的每处扣1分，垃圾桶爆满或垃圾散落，周围地面不整洁的每处扣2分。</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 xml:space="preserve"> (2)垃圾中转设施设置地点合理，考评点与城市道路、公路交接地段无垃圾集中堆放点、简易垃圾屋（池）等影响城市市容观瞻的垃圾中转设施。不合格每处视情扣2分。</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 xml:space="preserve"> (3)生活垃圾密闭收集运输，中转设施及其周边干净，垃圾日产日清，清运率100%。垃圾运输车辆不密闭每部扣1分，垃圾中转设施及其周边脏乱每处扣2分，未及时清运视情况扣2-3分。</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（4）废弃家具等大件垃圾清运及时。不合格每处视情况扣1-2分。</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（5）有焚烧垃圾现象的每处扣4分。</w:t>
            </w:r>
          </w:p>
        </w:tc>
        <w:tc>
          <w:tcPr>
            <w:tcW w:w="972" w:type="dxa"/>
            <w:vMerge w:val="continue"/>
            <w:tcBorders>
              <w:top w:val="nil"/>
              <w:left w:val="nil"/>
              <w:bottom w:val="single" w:color="auto" w:sz="4" w:space="0"/>
              <w:right w:val="single" w:color="auto" w:sz="4" w:space="0"/>
            </w:tcBorders>
            <w:shd w:val="clear" w:color="auto" w:fill="auto"/>
            <w:vAlign w:val="center"/>
          </w:tcPr>
          <w:p w14:paraId="1F3F2EA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301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77" w:type="dxa"/>
            <w:vMerge w:val="continue"/>
            <w:tcBorders>
              <w:top w:val="nil"/>
              <w:left w:val="single" w:color="auto" w:sz="4" w:space="0"/>
              <w:bottom w:val="single" w:color="auto" w:sz="4" w:space="0"/>
              <w:right w:val="single" w:color="auto" w:sz="4" w:space="0"/>
            </w:tcBorders>
            <w:shd w:val="clear" w:color="auto" w:fill="auto"/>
            <w:vAlign w:val="center"/>
          </w:tcPr>
          <w:p w14:paraId="0DEF5D5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57" w:type="dxa"/>
            <w:tcBorders>
              <w:top w:val="nil"/>
              <w:left w:val="nil"/>
              <w:bottom w:val="single" w:color="auto" w:sz="4" w:space="0"/>
              <w:right w:val="single" w:color="auto" w:sz="4" w:space="0"/>
            </w:tcBorders>
            <w:shd w:val="clear" w:color="auto" w:fill="auto"/>
            <w:vAlign w:val="center"/>
          </w:tcPr>
          <w:p w14:paraId="2B2660FA">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6.实行垃圾分类的区域，按要求开展垃圾分类宣传、配套完善垃圾分类设施设备，分类效果良好。不合格每处扣1-2分。</w:t>
            </w:r>
          </w:p>
        </w:tc>
        <w:tc>
          <w:tcPr>
            <w:tcW w:w="972" w:type="dxa"/>
            <w:vMerge w:val="continue"/>
            <w:tcBorders>
              <w:top w:val="nil"/>
              <w:left w:val="nil"/>
              <w:bottom w:val="single" w:color="auto" w:sz="4" w:space="0"/>
              <w:right w:val="single" w:color="auto" w:sz="4" w:space="0"/>
            </w:tcBorders>
            <w:shd w:val="clear" w:color="auto" w:fill="auto"/>
            <w:vAlign w:val="center"/>
          </w:tcPr>
          <w:p w14:paraId="7E56F15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908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7" w:type="dxa"/>
            <w:vMerge w:val="continue"/>
            <w:tcBorders>
              <w:top w:val="nil"/>
              <w:left w:val="single" w:color="auto" w:sz="4" w:space="0"/>
              <w:bottom w:val="single" w:color="auto" w:sz="4" w:space="0"/>
              <w:right w:val="single" w:color="auto" w:sz="4" w:space="0"/>
            </w:tcBorders>
            <w:shd w:val="clear" w:color="auto" w:fill="auto"/>
            <w:vAlign w:val="center"/>
          </w:tcPr>
          <w:p w14:paraId="3F95A1C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57" w:type="dxa"/>
            <w:tcBorders>
              <w:top w:val="nil"/>
              <w:left w:val="nil"/>
              <w:bottom w:val="single" w:color="auto" w:sz="4" w:space="0"/>
              <w:right w:val="single" w:color="auto" w:sz="4" w:space="0"/>
            </w:tcBorders>
            <w:shd w:val="clear" w:color="auto" w:fill="auto"/>
            <w:vAlign w:val="center"/>
          </w:tcPr>
          <w:p w14:paraId="6E469AF4">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7.家禽家畜圈养，圈养地点适宜。发现放养每处扣1分，地点不宜的每处视情扣1-2分。</w:t>
            </w:r>
          </w:p>
        </w:tc>
        <w:tc>
          <w:tcPr>
            <w:tcW w:w="972" w:type="dxa"/>
            <w:vMerge w:val="continue"/>
            <w:tcBorders>
              <w:top w:val="nil"/>
              <w:left w:val="nil"/>
              <w:bottom w:val="single" w:color="auto" w:sz="4" w:space="0"/>
              <w:right w:val="single" w:color="auto" w:sz="4" w:space="0"/>
            </w:tcBorders>
            <w:shd w:val="clear" w:color="auto" w:fill="auto"/>
            <w:vAlign w:val="center"/>
          </w:tcPr>
          <w:p w14:paraId="5FC9065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78A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7" w:type="dxa"/>
            <w:vMerge w:val="continue"/>
            <w:tcBorders>
              <w:top w:val="nil"/>
              <w:left w:val="single" w:color="auto" w:sz="4" w:space="0"/>
              <w:bottom w:val="single" w:color="auto" w:sz="4" w:space="0"/>
              <w:right w:val="single" w:color="auto" w:sz="4" w:space="0"/>
            </w:tcBorders>
            <w:shd w:val="clear" w:color="auto" w:fill="auto"/>
            <w:vAlign w:val="center"/>
          </w:tcPr>
          <w:p w14:paraId="6FA6F26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57" w:type="dxa"/>
            <w:tcBorders>
              <w:top w:val="nil"/>
              <w:left w:val="nil"/>
              <w:bottom w:val="single" w:color="auto" w:sz="4" w:space="0"/>
              <w:right w:val="single" w:color="auto" w:sz="4" w:space="0"/>
            </w:tcBorders>
            <w:shd w:val="clear" w:color="auto" w:fill="auto"/>
            <w:vAlign w:val="center"/>
          </w:tcPr>
          <w:p w14:paraId="624BDFB4">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8.除“四害”落实，无蚊蝇孳生地。发现老鼠和大量蚊蝇每处扣2分，存在蚊蝇滋生地每处扣2-3分。</w:t>
            </w:r>
          </w:p>
        </w:tc>
        <w:tc>
          <w:tcPr>
            <w:tcW w:w="972" w:type="dxa"/>
            <w:vMerge w:val="continue"/>
            <w:tcBorders>
              <w:top w:val="nil"/>
              <w:left w:val="nil"/>
              <w:bottom w:val="single" w:color="auto" w:sz="4" w:space="0"/>
              <w:right w:val="single" w:color="auto" w:sz="4" w:space="0"/>
            </w:tcBorders>
            <w:shd w:val="clear" w:color="auto" w:fill="auto"/>
            <w:vAlign w:val="center"/>
          </w:tcPr>
          <w:p w14:paraId="3D2BFC4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614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177" w:type="dxa"/>
            <w:vMerge w:val="continue"/>
            <w:tcBorders>
              <w:top w:val="nil"/>
              <w:left w:val="single" w:color="auto" w:sz="4" w:space="0"/>
              <w:bottom w:val="single" w:color="auto" w:sz="4" w:space="0"/>
              <w:right w:val="single" w:color="auto" w:sz="4" w:space="0"/>
            </w:tcBorders>
            <w:shd w:val="clear" w:color="auto" w:fill="auto"/>
            <w:vAlign w:val="center"/>
          </w:tcPr>
          <w:p w14:paraId="2C34EC8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57" w:type="dxa"/>
            <w:tcBorders>
              <w:top w:val="nil"/>
              <w:left w:val="nil"/>
              <w:bottom w:val="single" w:color="auto" w:sz="4" w:space="0"/>
              <w:right w:val="single" w:color="auto" w:sz="4" w:space="0"/>
            </w:tcBorders>
            <w:shd w:val="clear" w:color="auto" w:fill="auto"/>
            <w:vAlign w:val="center"/>
          </w:tcPr>
          <w:p w14:paraId="161E8D72">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9.公厕管理规范，厕内设施完好有效，厕内及厕周责任范围有序、干净，无臭味。散发臭味每座扣1分，指示标志设置不规范每处扣1分，设施、设备损坏每处扣1分，厕内外脏乱每处扣1-2分，公厕未启用每座扣3分。</w:t>
            </w:r>
          </w:p>
        </w:tc>
        <w:tc>
          <w:tcPr>
            <w:tcW w:w="972" w:type="dxa"/>
            <w:vMerge w:val="continue"/>
            <w:tcBorders>
              <w:top w:val="nil"/>
              <w:left w:val="nil"/>
              <w:bottom w:val="single" w:color="auto" w:sz="4" w:space="0"/>
              <w:right w:val="single" w:color="auto" w:sz="4" w:space="0"/>
            </w:tcBorders>
            <w:shd w:val="clear" w:color="auto" w:fill="auto"/>
            <w:vAlign w:val="center"/>
          </w:tcPr>
          <w:p w14:paraId="1767DA9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676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1177" w:type="dxa"/>
            <w:vMerge w:val="restart"/>
            <w:tcBorders>
              <w:top w:val="nil"/>
              <w:left w:val="single" w:color="auto" w:sz="4" w:space="0"/>
              <w:bottom w:val="single" w:color="000000" w:sz="4" w:space="0"/>
              <w:right w:val="single" w:color="auto" w:sz="4" w:space="0"/>
            </w:tcBorders>
            <w:shd w:val="clear" w:color="auto" w:fill="auto"/>
            <w:vAlign w:val="center"/>
          </w:tcPr>
          <w:p w14:paraId="01F3212D">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市容管理</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(50分)</w:t>
            </w:r>
          </w:p>
        </w:tc>
        <w:tc>
          <w:tcPr>
            <w:tcW w:w="7057" w:type="dxa"/>
            <w:tcBorders>
              <w:top w:val="nil"/>
              <w:left w:val="nil"/>
              <w:bottom w:val="single" w:color="auto" w:sz="4" w:space="0"/>
              <w:right w:val="single" w:color="auto" w:sz="4" w:space="0"/>
            </w:tcBorders>
            <w:shd w:val="clear" w:color="auto" w:fill="auto"/>
            <w:vAlign w:val="center"/>
          </w:tcPr>
          <w:p w14:paraId="2C29F603">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实行“门前三包”责任制，市容整洁、秩序良好。发现乱张贴、乱涂写、乱悬挂、乱堆放、乱挖占、乱搭建、乱竖杆牌、乱停放车辆、乱摆摊设点、跨店经营、乱排污、乱晾晒等影响市容观瞻或经营活动产生影响周边环境和市民生活的噪声、油烟污染的每处扣1-2分；问题突出或严重影响周边环境和市民生活的每处扣3-4分。主要干道及沿街店面私设户外水池每处扣2分；非法占地违法建设每处视情扣3-5分。</w:t>
            </w:r>
          </w:p>
        </w:tc>
        <w:tc>
          <w:tcPr>
            <w:tcW w:w="972" w:type="dxa"/>
            <w:vMerge w:val="restart"/>
            <w:tcBorders>
              <w:top w:val="nil"/>
              <w:left w:val="nil"/>
              <w:bottom w:val="single" w:color="000000" w:sz="4" w:space="0"/>
              <w:right w:val="single" w:color="auto" w:sz="4" w:space="0"/>
            </w:tcBorders>
            <w:shd w:val="clear" w:color="auto" w:fill="auto"/>
            <w:vAlign w:val="center"/>
          </w:tcPr>
          <w:p w14:paraId="1F22C451">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50分</w:t>
            </w:r>
          </w:p>
        </w:tc>
      </w:tr>
      <w:tr w14:paraId="0BFE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177" w:type="dxa"/>
            <w:vMerge w:val="continue"/>
            <w:tcBorders>
              <w:top w:val="nil"/>
              <w:left w:val="single" w:color="auto" w:sz="4" w:space="0"/>
              <w:bottom w:val="single" w:color="000000" w:sz="4" w:space="0"/>
              <w:right w:val="single" w:color="auto" w:sz="4" w:space="0"/>
            </w:tcBorders>
            <w:shd w:val="clear" w:color="auto" w:fill="auto"/>
            <w:vAlign w:val="center"/>
          </w:tcPr>
          <w:p w14:paraId="581904C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57" w:type="dxa"/>
            <w:tcBorders>
              <w:top w:val="nil"/>
              <w:left w:val="nil"/>
              <w:bottom w:val="single" w:color="auto" w:sz="4" w:space="0"/>
              <w:right w:val="single" w:color="auto" w:sz="4" w:space="0"/>
            </w:tcBorders>
            <w:shd w:val="clear" w:color="auto" w:fill="auto"/>
            <w:vAlign w:val="center"/>
          </w:tcPr>
          <w:p w14:paraId="03756911">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2.主要道路有硬化，公共设施完好。主要道路未硬化每处扣2分，道路破损严重每处视情况扣1-2分，沟井盖、护栏等公共设施损坏、缺失每处扣1分。</w:t>
            </w:r>
          </w:p>
        </w:tc>
        <w:tc>
          <w:tcPr>
            <w:tcW w:w="972" w:type="dxa"/>
            <w:vMerge w:val="continue"/>
            <w:tcBorders>
              <w:top w:val="nil"/>
              <w:left w:val="nil"/>
              <w:bottom w:val="single" w:color="000000" w:sz="4" w:space="0"/>
              <w:right w:val="single" w:color="auto" w:sz="4" w:space="0"/>
            </w:tcBorders>
            <w:shd w:val="clear" w:color="auto" w:fill="auto"/>
            <w:vAlign w:val="center"/>
          </w:tcPr>
          <w:p w14:paraId="39A2225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B11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177" w:type="dxa"/>
            <w:vMerge w:val="continue"/>
            <w:tcBorders>
              <w:top w:val="nil"/>
              <w:left w:val="single" w:color="auto" w:sz="4" w:space="0"/>
              <w:bottom w:val="single" w:color="000000" w:sz="4" w:space="0"/>
              <w:right w:val="single" w:color="auto" w:sz="4" w:space="0"/>
            </w:tcBorders>
            <w:shd w:val="clear" w:color="auto" w:fill="auto"/>
            <w:vAlign w:val="center"/>
          </w:tcPr>
          <w:p w14:paraId="2749978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57" w:type="dxa"/>
            <w:tcBorders>
              <w:top w:val="nil"/>
              <w:left w:val="nil"/>
              <w:bottom w:val="single" w:color="auto" w:sz="4" w:space="0"/>
              <w:right w:val="single" w:color="auto" w:sz="4" w:space="0"/>
            </w:tcBorders>
            <w:shd w:val="clear" w:color="auto" w:fill="auto"/>
            <w:vAlign w:val="center"/>
          </w:tcPr>
          <w:p w14:paraId="618F8DFE">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3.道路可视范围内建筑物、构筑物外立面整洁有序、美观完好，各种户外广告、报栏、宣传栏、牌匾、指示标志、警示标志完好、整洁。不合格每处视情扣1-2分。</w:t>
            </w:r>
          </w:p>
        </w:tc>
        <w:tc>
          <w:tcPr>
            <w:tcW w:w="972" w:type="dxa"/>
            <w:vMerge w:val="continue"/>
            <w:tcBorders>
              <w:top w:val="nil"/>
              <w:left w:val="nil"/>
              <w:bottom w:val="single" w:color="000000" w:sz="4" w:space="0"/>
              <w:right w:val="single" w:color="auto" w:sz="4" w:space="0"/>
            </w:tcBorders>
            <w:shd w:val="clear" w:color="auto" w:fill="auto"/>
            <w:vAlign w:val="center"/>
          </w:tcPr>
          <w:p w14:paraId="487CA29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DF8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177" w:type="dxa"/>
            <w:vMerge w:val="continue"/>
            <w:tcBorders>
              <w:top w:val="nil"/>
              <w:left w:val="single" w:color="auto" w:sz="4" w:space="0"/>
              <w:bottom w:val="single" w:color="000000" w:sz="4" w:space="0"/>
              <w:right w:val="single" w:color="auto" w:sz="4" w:space="0"/>
            </w:tcBorders>
            <w:shd w:val="clear" w:color="auto" w:fill="auto"/>
            <w:vAlign w:val="center"/>
          </w:tcPr>
          <w:p w14:paraId="39C5939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57" w:type="dxa"/>
            <w:tcBorders>
              <w:top w:val="nil"/>
              <w:left w:val="nil"/>
              <w:bottom w:val="single" w:color="auto" w:sz="4" w:space="0"/>
              <w:right w:val="single" w:color="auto" w:sz="4" w:space="0"/>
            </w:tcBorders>
            <w:shd w:val="clear" w:color="auto" w:fill="auto"/>
            <w:vAlign w:val="center"/>
          </w:tcPr>
          <w:p w14:paraId="3AD0D213">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4.集市场所及周边整洁，摊贩入场并规范经营。不合格的每处视情况扣1-2分。</w:t>
            </w:r>
          </w:p>
        </w:tc>
        <w:tc>
          <w:tcPr>
            <w:tcW w:w="972" w:type="dxa"/>
            <w:vMerge w:val="continue"/>
            <w:tcBorders>
              <w:top w:val="nil"/>
              <w:left w:val="nil"/>
              <w:bottom w:val="single" w:color="000000" w:sz="4" w:space="0"/>
              <w:right w:val="single" w:color="auto" w:sz="4" w:space="0"/>
            </w:tcBorders>
            <w:shd w:val="clear" w:color="auto" w:fill="auto"/>
            <w:vAlign w:val="center"/>
          </w:tcPr>
          <w:p w14:paraId="497171B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BA8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77" w:type="dxa"/>
            <w:vMerge w:val="continue"/>
            <w:tcBorders>
              <w:top w:val="nil"/>
              <w:left w:val="single" w:color="auto" w:sz="4" w:space="0"/>
              <w:bottom w:val="single" w:color="000000" w:sz="4" w:space="0"/>
              <w:right w:val="single" w:color="auto" w:sz="4" w:space="0"/>
            </w:tcBorders>
            <w:shd w:val="clear" w:color="auto" w:fill="auto"/>
            <w:vAlign w:val="center"/>
          </w:tcPr>
          <w:p w14:paraId="76ECED3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57" w:type="dxa"/>
            <w:tcBorders>
              <w:top w:val="nil"/>
              <w:left w:val="nil"/>
              <w:bottom w:val="single" w:color="auto" w:sz="4" w:space="0"/>
              <w:right w:val="single" w:color="auto" w:sz="4" w:space="0"/>
            </w:tcBorders>
            <w:shd w:val="clear" w:color="auto" w:fill="auto"/>
            <w:vAlign w:val="center"/>
          </w:tcPr>
          <w:p w14:paraId="2CCFC902">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5.绿化养护良好，及时修剪、整形，病虫害及时防治，死株、缺株及时补植，无黄土裸露、杂草丛生，无擅自占用、人为损坏绿地行为。不合格每处扣1-2分。</w:t>
            </w:r>
          </w:p>
        </w:tc>
        <w:tc>
          <w:tcPr>
            <w:tcW w:w="972" w:type="dxa"/>
            <w:vMerge w:val="continue"/>
            <w:tcBorders>
              <w:top w:val="nil"/>
              <w:left w:val="nil"/>
              <w:bottom w:val="single" w:color="000000" w:sz="4" w:space="0"/>
              <w:right w:val="single" w:color="auto" w:sz="4" w:space="0"/>
            </w:tcBorders>
            <w:shd w:val="clear" w:color="auto" w:fill="auto"/>
            <w:vAlign w:val="center"/>
          </w:tcPr>
          <w:p w14:paraId="3F0111D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475F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1177" w:type="dxa"/>
            <w:tcBorders>
              <w:top w:val="nil"/>
              <w:left w:val="single" w:color="auto" w:sz="4" w:space="0"/>
              <w:bottom w:val="single" w:color="auto" w:sz="4" w:space="0"/>
              <w:right w:val="single" w:color="auto" w:sz="4" w:space="0"/>
            </w:tcBorders>
            <w:shd w:val="clear" w:color="auto" w:fill="auto"/>
            <w:vAlign w:val="center"/>
          </w:tcPr>
          <w:p w14:paraId="00B28073">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合计</w:t>
            </w:r>
          </w:p>
        </w:tc>
        <w:tc>
          <w:tcPr>
            <w:tcW w:w="7057" w:type="dxa"/>
            <w:tcBorders>
              <w:top w:val="nil"/>
              <w:left w:val="nil"/>
              <w:bottom w:val="single" w:color="auto" w:sz="4" w:space="0"/>
              <w:right w:val="single" w:color="auto" w:sz="4" w:space="0"/>
            </w:tcBorders>
            <w:shd w:val="clear" w:color="auto" w:fill="auto"/>
            <w:vAlign w:val="center"/>
          </w:tcPr>
          <w:p w14:paraId="2367A46E">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972" w:type="dxa"/>
            <w:tcBorders>
              <w:top w:val="nil"/>
              <w:left w:val="nil"/>
              <w:bottom w:val="single" w:color="auto" w:sz="4" w:space="0"/>
              <w:right w:val="single" w:color="auto" w:sz="4" w:space="0"/>
            </w:tcBorders>
            <w:shd w:val="clear" w:color="auto" w:fill="auto"/>
            <w:vAlign w:val="center"/>
          </w:tcPr>
          <w:p w14:paraId="4B80320D">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100分</w:t>
            </w:r>
          </w:p>
        </w:tc>
      </w:tr>
      <w:tr w14:paraId="23AE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206" w:type="dxa"/>
            <w:gridSpan w:val="3"/>
            <w:tcBorders>
              <w:top w:val="single" w:color="auto" w:sz="4" w:space="0"/>
              <w:left w:val="nil"/>
              <w:bottom w:val="nil"/>
              <w:right w:val="nil"/>
            </w:tcBorders>
            <w:shd w:val="clear" w:color="auto" w:fill="auto"/>
            <w:vAlign w:val="center"/>
          </w:tcPr>
          <w:p w14:paraId="4949015F">
            <w:pPr>
              <w:keepNext w:val="0"/>
              <w:keepLines w:val="0"/>
              <w:widowControl/>
              <w:suppressLineNumbers w:val="0"/>
              <w:spacing w:before="0" w:beforeAutospacing="0" w:after="0" w:afterAutospacing="0" w:line="52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备注：</w:t>
            </w:r>
          </w:p>
          <w:p w14:paraId="156154BB">
            <w:pPr>
              <w:keepNext w:val="0"/>
              <w:keepLines w:val="0"/>
              <w:widowControl/>
              <w:suppressLineNumbers w:val="0"/>
              <w:spacing w:before="0" w:beforeAutospacing="0" w:after="0" w:afterAutospacing="0" w:line="52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考评点市容整治提升（如道路改造、广告整治、市场整治、空中线缆整治等）效果良好、“门前三包”标准街创建或垃圾分类工作取得明显成效，当月考评成绩加1-3分。</w:t>
            </w:r>
          </w:p>
        </w:tc>
      </w:tr>
    </w:tbl>
    <w:p w14:paraId="6EEA87FA">
      <w:pPr>
        <w:pStyle w:val="11"/>
        <w:ind w:firstLine="480" w:firstLineChars="200"/>
        <w:jc w:val="both"/>
        <w:rPr>
          <w:rFonts w:hint="eastAsia"/>
          <w:color w:val="auto"/>
          <w:sz w:val="24"/>
          <w:szCs w:val="24"/>
          <w:highlight w:val="none"/>
        </w:rPr>
      </w:pPr>
      <w:r>
        <w:rPr>
          <w:rFonts w:hint="eastAsia"/>
          <w:color w:val="auto"/>
          <w:sz w:val="24"/>
          <w:szCs w:val="24"/>
          <w:highlight w:val="none"/>
        </w:rPr>
        <w:t xml:space="preserve">  </w:t>
      </w:r>
    </w:p>
    <w:p w14:paraId="46AF1239">
      <w:pPr>
        <w:pStyle w:val="11"/>
        <w:jc w:val="both"/>
        <w:rPr>
          <w:rFonts w:hint="eastAsia"/>
          <w:color w:val="auto"/>
          <w:sz w:val="24"/>
          <w:szCs w:val="24"/>
          <w:highlight w:val="none"/>
        </w:rPr>
      </w:pPr>
      <w:r>
        <w:rPr>
          <w:rFonts w:hint="eastAsia"/>
          <w:color w:val="auto"/>
          <w:sz w:val="24"/>
          <w:szCs w:val="24"/>
          <w:highlight w:val="none"/>
          <w:lang w:val="en-US" w:eastAsia="zh-CN"/>
        </w:rPr>
        <w:t>附件2</w:t>
      </w:r>
    </w:p>
    <w:tbl>
      <w:tblPr>
        <w:tblStyle w:val="8"/>
        <w:tblW w:w="92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4"/>
        <w:gridCol w:w="7014"/>
        <w:gridCol w:w="986"/>
      </w:tblGrid>
      <w:tr w14:paraId="11D1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234" w:type="dxa"/>
            <w:gridSpan w:val="3"/>
            <w:tcBorders>
              <w:top w:val="nil"/>
              <w:left w:val="nil"/>
              <w:bottom w:val="nil"/>
              <w:right w:val="nil"/>
            </w:tcBorders>
            <w:shd w:val="clear" w:color="auto" w:fill="auto"/>
            <w:vAlign w:val="center"/>
          </w:tcPr>
          <w:p w14:paraId="564DCD89">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农村村容和环境卫生考评标准</w:t>
            </w:r>
          </w:p>
        </w:tc>
      </w:tr>
      <w:tr w14:paraId="584C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496F3536">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考评内容</w:t>
            </w:r>
          </w:p>
        </w:tc>
        <w:tc>
          <w:tcPr>
            <w:tcW w:w="7014" w:type="dxa"/>
            <w:tcBorders>
              <w:top w:val="single" w:color="auto" w:sz="4" w:space="0"/>
              <w:left w:val="nil"/>
              <w:bottom w:val="single" w:color="auto" w:sz="4" w:space="0"/>
              <w:right w:val="single" w:color="auto" w:sz="4" w:space="0"/>
            </w:tcBorders>
            <w:shd w:val="clear" w:color="auto" w:fill="auto"/>
            <w:vAlign w:val="center"/>
          </w:tcPr>
          <w:p w14:paraId="35C73F55">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评分标准</w:t>
            </w:r>
          </w:p>
        </w:tc>
        <w:tc>
          <w:tcPr>
            <w:tcW w:w="986" w:type="dxa"/>
            <w:tcBorders>
              <w:top w:val="single" w:color="auto" w:sz="4" w:space="0"/>
              <w:left w:val="nil"/>
              <w:bottom w:val="single" w:color="auto" w:sz="4" w:space="0"/>
              <w:right w:val="single" w:color="auto" w:sz="4" w:space="0"/>
            </w:tcBorders>
            <w:shd w:val="clear" w:color="auto" w:fill="auto"/>
            <w:vAlign w:val="center"/>
          </w:tcPr>
          <w:p w14:paraId="2529515A">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满分</w:t>
            </w:r>
          </w:p>
        </w:tc>
      </w:tr>
      <w:tr w14:paraId="7DFD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34" w:type="dxa"/>
            <w:vMerge w:val="restart"/>
            <w:tcBorders>
              <w:top w:val="nil"/>
              <w:left w:val="single" w:color="auto" w:sz="4" w:space="0"/>
              <w:bottom w:val="single" w:color="auto" w:sz="4" w:space="0"/>
              <w:right w:val="single" w:color="auto" w:sz="4" w:space="0"/>
            </w:tcBorders>
            <w:shd w:val="clear" w:color="auto" w:fill="auto"/>
            <w:vAlign w:val="center"/>
          </w:tcPr>
          <w:p w14:paraId="76EDE4D4">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组织机构和管理制度（10分）</w:t>
            </w:r>
          </w:p>
        </w:tc>
        <w:tc>
          <w:tcPr>
            <w:tcW w:w="7014" w:type="dxa"/>
            <w:tcBorders>
              <w:top w:val="nil"/>
              <w:left w:val="nil"/>
              <w:bottom w:val="single" w:color="auto" w:sz="4" w:space="0"/>
              <w:right w:val="single" w:color="auto" w:sz="4" w:space="0"/>
            </w:tcBorders>
            <w:shd w:val="clear" w:color="auto" w:fill="auto"/>
            <w:vAlign w:val="center"/>
          </w:tcPr>
          <w:p w14:paraId="11AE3DD2">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1.有专职的村容和环境卫生管理工作人员，有一名村干部负责环境卫生管理工作。</w:t>
            </w:r>
          </w:p>
        </w:tc>
        <w:tc>
          <w:tcPr>
            <w:tcW w:w="986" w:type="dxa"/>
            <w:vMerge w:val="restart"/>
            <w:tcBorders>
              <w:top w:val="nil"/>
              <w:left w:val="nil"/>
              <w:bottom w:val="single" w:color="000000" w:sz="4" w:space="0"/>
              <w:right w:val="single" w:color="auto" w:sz="4" w:space="0"/>
            </w:tcBorders>
            <w:shd w:val="clear" w:color="auto" w:fill="auto"/>
            <w:vAlign w:val="center"/>
          </w:tcPr>
          <w:p w14:paraId="78FCDD46">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10分</w:t>
            </w:r>
          </w:p>
        </w:tc>
      </w:tr>
      <w:tr w14:paraId="59F8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234" w:type="dxa"/>
            <w:vMerge w:val="continue"/>
            <w:tcBorders>
              <w:top w:val="nil"/>
              <w:left w:val="single" w:color="auto" w:sz="4" w:space="0"/>
              <w:bottom w:val="single" w:color="auto" w:sz="4" w:space="0"/>
              <w:right w:val="single" w:color="auto" w:sz="4" w:space="0"/>
            </w:tcBorders>
            <w:shd w:val="clear" w:color="auto" w:fill="auto"/>
            <w:vAlign w:val="center"/>
          </w:tcPr>
          <w:p w14:paraId="5BE5F94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14" w:type="dxa"/>
            <w:tcBorders>
              <w:top w:val="nil"/>
              <w:left w:val="nil"/>
              <w:bottom w:val="single" w:color="auto" w:sz="4" w:space="0"/>
              <w:right w:val="single" w:color="auto" w:sz="4" w:space="0"/>
            </w:tcBorders>
            <w:shd w:val="clear" w:color="auto" w:fill="auto"/>
            <w:vAlign w:val="center"/>
          </w:tcPr>
          <w:p w14:paraId="394C82F8">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2.制定和落实保洁以及垃圾清运制度，按市、区两级相关规定足量配备保洁人员，并明确保洁人员的责任范围和作业要求，保洁人员着统一标志上岗。</w:t>
            </w:r>
          </w:p>
        </w:tc>
        <w:tc>
          <w:tcPr>
            <w:tcW w:w="986" w:type="dxa"/>
            <w:vMerge w:val="continue"/>
            <w:tcBorders>
              <w:top w:val="nil"/>
              <w:left w:val="nil"/>
              <w:bottom w:val="single" w:color="000000" w:sz="4" w:space="0"/>
              <w:right w:val="single" w:color="auto" w:sz="4" w:space="0"/>
            </w:tcBorders>
            <w:shd w:val="clear" w:color="auto" w:fill="auto"/>
            <w:vAlign w:val="center"/>
          </w:tcPr>
          <w:p w14:paraId="0991963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B62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234" w:type="dxa"/>
            <w:vMerge w:val="continue"/>
            <w:tcBorders>
              <w:top w:val="nil"/>
              <w:left w:val="single" w:color="auto" w:sz="4" w:space="0"/>
              <w:bottom w:val="single" w:color="auto" w:sz="4" w:space="0"/>
              <w:right w:val="single" w:color="auto" w:sz="4" w:space="0"/>
            </w:tcBorders>
            <w:shd w:val="clear" w:color="auto" w:fill="auto"/>
            <w:vAlign w:val="center"/>
          </w:tcPr>
          <w:p w14:paraId="1A82FE9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14" w:type="dxa"/>
            <w:tcBorders>
              <w:top w:val="nil"/>
              <w:left w:val="nil"/>
              <w:bottom w:val="single" w:color="auto" w:sz="4" w:space="0"/>
              <w:right w:val="single" w:color="auto" w:sz="4" w:space="0"/>
            </w:tcBorders>
            <w:shd w:val="clear" w:color="auto" w:fill="auto"/>
            <w:vAlign w:val="center"/>
          </w:tcPr>
          <w:p w14:paraId="2427D7BB">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3.建立和落实自评考核和日常巡查制度，每月自评考核一次以上，自评考核和日常巡查应有记录。</w:t>
            </w:r>
          </w:p>
        </w:tc>
        <w:tc>
          <w:tcPr>
            <w:tcW w:w="986" w:type="dxa"/>
            <w:vMerge w:val="continue"/>
            <w:tcBorders>
              <w:top w:val="nil"/>
              <w:left w:val="nil"/>
              <w:bottom w:val="single" w:color="000000" w:sz="4" w:space="0"/>
              <w:right w:val="single" w:color="auto" w:sz="4" w:space="0"/>
            </w:tcBorders>
            <w:shd w:val="clear" w:color="auto" w:fill="auto"/>
            <w:vAlign w:val="center"/>
          </w:tcPr>
          <w:p w14:paraId="58C57DF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272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34" w:type="dxa"/>
            <w:vMerge w:val="continue"/>
            <w:tcBorders>
              <w:top w:val="nil"/>
              <w:left w:val="single" w:color="auto" w:sz="4" w:space="0"/>
              <w:bottom w:val="single" w:color="auto" w:sz="4" w:space="0"/>
              <w:right w:val="single" w:color="auto" w:sz="4" w:space="0"/>
            </w:tcBorders>
            <w:shd w:val="clear" w:color="auto" w:fill="auto"/>
            <w:vAlign w:val="center"/>
          </w:tcPr>
          <w:p w14:paraId="7FA5DFE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14" w:type="dxa"/>
            <w:tcBorders>
              <w:top w:val="nil"/>
              <w:left w:val="nil"/>
              <w:bottom w:val="single" w:color="auto" w:sz="4" w:space="0"/>
              <w:right w:val="single" w:color="auto" w:sz="4" w:space="0"/>
            </w:tcBorders>
            <w:shd w:val="clear" w:color="auto" w:fill="auto"/>
            <w:vAlign w:val="center"/>
          </w:tcPr>
          <w:p w14:paraId="6468573A">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4.制定和落实市容和环境卫生相关的村规民约，并在相关位置公布张贴，充分发挥老人督导队等群众性监督队伍的作用，开展形式多样的环境卫生和设施维护宣传教育督导活动。</w:t>
            </w:r>
          </w:p>
        </w:tc>
        <w:tc>
          <w:tcPr>
            <w:tcW w:w="986" w:type="dxa"/>
            <w:vMerge w:val="continue"/>
            <w:tcBorders>
              <w:top w:val="nil"/>
              <w:left w:val="nil"/>
              <w:bottom w:val="single" w:color="000000" w:sz="4" w:space="0"/>
              <w:right w:val="single" w:color="auto" w:sz="4" w:space="0"/>
            </w:tcBorders>
            <w:shd w:val="clear" w:color="auto" w:fill="auto"/>
            <w:vAlign w:val="center"/>
          </w:tcPr>
          <w:p w14:paraId="7C0E786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E69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234" w:type="dxa"/>
            <w:vMerge w:val="restart"/>
            <w:tcBorders>
              <w:top w:val="nil"/>
              <w:left w:val="single" w:color="auto" w:sz="4" w:space="0"/>
              <w:bottom w:val="single" w:color="000000" w:sz="4" w:space="0"/>
              <w:right w:val="single" w:color="auto" w:sz="4" w:space="0"/>
            </w:tcBorders>
            <w:shd w:val="clear" w:color="auto" w:fill="auto"/>
            <w:vAlign w:val="center"/>
          </w:tcPr>
          <w:p w14:paraId="1F83AE61">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清扫保洁和垃圾收运（40分）</w:t>
            </w:r>
          </w:p>
        </w:tc>
        <w:tc>
          <w:tcPr>
            <w:tcW w:w="7014" w:type="dxa"/>
            <w:tcBorders>
              <w:top w:val="nil"/>
              <w:left w:val="nil"/>
              <w:bottom w:val="single" w:color="auto" w:sz="4" w:space="0"/>
              <w:right w:val="single" w:color="auto" w:sz="4" w:space="0"/>
            </w:tcBorders>
            <w:shd w:val="clear" w:color="auto" w:fill="auto"/>
            <w:vAlign w:val="center"/>
          </w:tcPr>
          <w:p w14:paraId="73ADC7BA">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1.道路路面及道路两侧空地、树穴、公共绿地、公共活动场所、房前屋后等每天清扫。果皮、纸屑等废弃物较多视情况每处扣1-2分，垃圾成堆每处扣2-3分，发现由陈年垃圾堆积的卫生死角每处扣3-5分。</w:t>
            </w:r>
          </w:p>
        </w:tc>
        <w:tc>
          <w:tcPr>
            <w:tcW w:w="986" w:type="dxa"/>
            <w:vMerge w:val="restart"/>
            <w:tcBorders>
              <w:top w:val="nil"/>
              <w:left w:val="nil"/>
              <w:bottom w:val="single" w:color="000000" w:sz="4" w:space="0"/>
              <w:right w:val="single" w:color="auto" w:sz="4" w:space="0"/>
            </w:tcBorders>
            <w:shd w:val="clear" w:color="auto" w:fill="auto"/>
            <w:vAlign w:val="center"/>
          </w:tcPr>
          <w:p w14:paraId="7FCF9FDF">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40分</w:t>
            </w:r>
          </w:p>
        </w:tc>
      </w:tr>
      <w:tr w14:paraId="24AB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234" w:type="dxa"/>
            <w:vMerge w:val="continue"/>
            <w:tcBorders>
              <w:top w:val="nil"/>
              <w:left w:val="single" w:color="auto" w:sz="4" w:space="0"/>
              <w:bottom w:val="single" w:color="000000" w:sz="4" w:space="0"/>
              <w:right w:val="single" w:color="auto" w:sz="4" w:space="0"/>
            </w:tcBorders>
            <w:shd w:val="clear" w:color="auto" w:fill="auto"/>
            <w:vAlign w:val="center"/>
          </w:tcPr>
          <w:p w14:paraId="5B792D9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14" w:type="dxa"/>
            <w:tcBorders>
              <w:top w:val="nil"/>
              <w:left w:val="nil"/>
              <w:bottom w:val="single" w:color="auto" w:sz="4" w:space="0"/>
              <w:right w:val="single" w:color="auto" w:sz="4" w:space="0"/>
            </w:tcBorders>
            <w:shd w:val="clear" w:color="auto" w:fill="auto"/>
            <w:vAlign w:val="center"/>
          </w:tcPr>
          <w:p w14:paraId="7610CC59">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2.溪、湖、塘、池、渠等水体流通、清洁，水域坡岸无垃圾、杂物。水面有漂浮废弃物每处扣1分，坡岸有垃圾、杂物每处扣1-2分。</w:t>
            </w:r>
          </w:p>
        </w:tc>
        <w:tc>
          <w:tcPr>
            <w:tcW w:w="986" w:type="dxa"/>
            <w:vMerge w:val="continue"/>
            <w:tcBorders>
              <w:top w:val="nil"/>
              <w:left w:val="nil"/>
              <w:bottom w:val="single" w:color="000000" w:sz="4" w:space="0"/>
              <w:right w:val="single" w:color="auto" w:sz="4" w:space="0"/>
            </w:tcBorders>
            <w:shd w:val="clear" w:color="auto" w:fill="auto"/>
            <w:vAlign w:val="center"/>
          </w:tcPr>
          <w:p w14:paraId="1D4B7E62">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D01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234" w:type="dxa"/>
            <w:vMerge w:val="continue"/>
            <w:tcBorders>
              <w:top w:val="nil"/>
              <w:left w:val="single" w:color="auto" w:sz="4" w:space="0"/>
              <w:bottom w:val="single" w:color="000000" w:sz="4" w:space="0"/>
              <w:right w:val="single" w:color="auto" w:sz="4" w:space="0"/>
            </w:tcBorders>
            <w:shd w:val="clear" w:color="auto" w:fill="auto"/>
            <w:vAlign w:val="center"/>
          </w:tcPr>
          <w:p w14:paraId="0C017E4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14" w:type="dxa"/>
            <w:tcBorders>
              <w:top w:val="nil"/>
              <w:left w:val="nil"/>
              <w:bottom w:val="single" w:color="auto" w:sz="4" w:space="0"/>
              <w:right w:val="single" w:color="auto" w:sz="4" w:space="0"/>
            </w:tcBorders>
            <w:shd w:val="clear" w:color="auto" w:fill="auto"/>
            <w:vAlign w:val="center"/>
          </w:tcPr>
          <w:p w14:paraId="624D7EC3">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3.村民按规定的时间、地点、方式投放垃圾。未按规定投放垃圾每处扣1分，焚烧垃圾每处扣5分。</w:t>
            </w:r>
          </w:p>
        </w:tc>
        <w:tc>
          <w:tcPr>
            <w:tcW w:w="986" w:type="dxa"/>
            <w:vMerge w:val="continue"/>
            <w:tcBorders>
              <w:top w:val="nil"/>
              <w:left w:val="nil"/>
              <w:bottom w:val="single" w:color="000000" w:sz="4" w:space="0"/>
              <w:right w:val="single" w:color="auto" w:sz="4" w:space="0"/>
            </w:tcBorders>
            <w:shd w:val="clear" w:color="auto" w:fill="auto"/>
            <w:vAlign w:val="center"/>
          </w:tcPr>
          <w:p w14:paraId="51E8465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6D3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1234" w:type="dxa"/>
            <w:vMerge w:val="continue"/>
            <w:tcBorders>
              <w:top w:val="nil"/>
              <w:left w:val="single" w:color="auto" w:sz="4" w:space="0"/>
              <w:bottom w:val="single" w:color="000000" w:sz="4" w:space="0"/>
              <w:right w:val="single" w:color="auto" w:sz="4" w:space="0"/>
            </w:tcBorders>
            <w:shd w:val="clear" w:color="auto" w:fill="auto"/>
            <w:vAlign w:val="center"/>
          </w:tcPr>
          <w:p w14:paraId="69B8609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14" w:type="dxa"/>
            <w:tcBorders>
              <w:top w:val="nil"/>
              <w:left w:val="nil"/>
              <w:bottom w:val="single" w:color="auto" w:sz="4" w:space="0"/>
              <w:right w:val="single" w:color="auto" w:sz="4" w:space="0"/>
            </w:tcBorders>
            <w:shd w:val="clear" w:color="auto" w:fill="auto"/>
            <w:vAlign w:val="center"/>
          </w:tcPr>
          <w:p w14:paraId="25C69794">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4.生活垃圾收集容器、垃圾中转站(点)合理设置，定期冲洗和消杀，设施完好有效，生活垃圾日产日清。设施破损、设施周围积留污物、有较多蚊蝇每处扣2分；生活垃圾未日产日清每处扣3-5分。清洁楼已建成超过一年未启用的，发现一座扣3分。</w:t>
            </w:r>
          </w:p>
        </w:tc>
        <w:tc>
          <w:tcPr>
            <w:tcW w:w="986" w:type="dxa"/>
            <w:vMerge w:val="continue"/>
            <w:tcBorders>
              <w:top w:val="nil"/>
              <w:left w:val="nil"/>
              <w:bottom w:val="single" w:color="000000" w:sz="4" w:space="0"/>
              <w:right w:val="single" w:color="auto" w:sz="4" w:space="0"/>
            </w:tcBorders>
            <w:shd w:val="clear" w:color="auto" w:fill="auto"/>
            <w:vAlign w:val="center"/>
          </w:tcPr>
          <w:p w14:paraId="05E3224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E24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234" w:type="dxa"/>
            <w:vMerge w:val="restart"/>
            <w:tcBorders>
              <w:top w:val="nil"/>
              <w:left w:val="single" w:color="auto" w:sz="4" w:space="0"/>
              <w:bottom w:val="single" w:color="000000" w:sz="4" w:space="0"/>
              <w:right w:val="single" w:color="auto" w:sz="4" w:space="0"/>
            </w:tcBorders>
            <w:shd w:val="clear" w:color="auto" w:fill="auto"/>
            <w:vAlign w:val="center"/>
          </w:tcPr>
          <w:p w14:paraId="169C9CB1">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村容和公共设施管理（30分）</w:t>
            </w:r>
          </w:p>
        </w:tc>
        <w:tc>
          <w:tcPr>
            <w:tcW w:w="7014" w:type="dxa"/>
            <w:tcBorders>
              <w:top w:val="nil"/>
              <w:left w:val="nil"/>
              <w:bottom w:val="single" w:color="auto" w:sz="4" w:space="0"/>
              <w:right w:val="single" w:color="auto" w:sz="4" w:space="0"/>
            </w:tcBorders>
            <w:shd w:val="clear" w:color="auto" w:fill="auto"/>
            <w:vAlign w:val="center"/>
          </w:tcPr>
          <w:p w14:paraId="5A0763B9">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1.按要求开展“门前三包”工作，村容整洁，房前屋后、公共区域杂物、建材堆放整齐。发现乱堆放、乱张贴、乱涂写、乱排污等影响市容观瞻的现象每处扣1分，情况严重每处视情扣2-3分。</w:t>
            </w:r>
          </w:p>
        </w:tc>
        <w:tc>
          <w:tcPr>
            <w:tcW w:w="986" w:type="dxa"/>
            <w:vMerge w:val="restart"/>
            <w:tcBorders>
              <w:top w:val="nil"/>
              <w:left w:val="nil"/>
              <w:bottom w:val="single" w:color="000000" w:sz="4" w:space="0"/>
              <w:right w:val="single" w:color="auto" w:sz="4" w:space="0"/>
            </w:tcBorders>
            <w:shd w:val="clear" w:color="auto" w:fill="auto"/>
            <w:vAlign w:val="center"/>
          </w:tcPr>
          <w:p w14:paraId="349BF85D">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30分</w:t>
            </w:r>
          </w:p>
        </w:tc>
      </w:tr>
      <w:tr w14:paraId="6FF3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34" w:type="dxa"/>
            <w:vMerge w:val="continue"/>
            <w:tcBorders>
              <w:top w:val="nil"/>
              <w:left w:val="single" w:color="auto" w:sz="4" w:space="0"/>
              <w:bottom w:val="single" w:color="000000" w:sz="4" w:space="0"/>
              <w:right w:val="single" w:color="auto" w:sz="4" w:space="0"/>
            </w:tcBorders>
            <w:shd w:val="clear" w:color="auto" w:fill="auto"/>
            <w:vAlign w:val="center"/>
          </w:tcPr>
          <w:p w14:paraId="2407B10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14" w:type="dxa"/>
            <w:tcBorders>
              <w:top w:val="nil"/>
              <w:left w:val="nil"/>
              <w:bottom w:val="single" w:color="auto" w:sz="4" w:space="0"/>
              <w:right w:val="single" w:color="auto" w:sz="4" w:space="0"/>
            </w:tcBorders>
            <w:shd w:val="clear" w:color="auto" w:fill="auto"/>
            <w:vAlign w:val="center"/>
          </w:tcPr>
          <w:p w14:paraId="2B4066BF">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2.公厕管理责任明确，厕内设施完好有效，厕内及厕周责任范围干净，无臭味。设施损坏每处扣1分，散发臭味每座扣1分，厕内外脏乱每处扣2分，无人管理每座扣3分，公厕未启用每座扣5分。</w:t>
            </w:r>
          </w:p>
        </w:tc>
        <w:tc>
          <w:tcPr>
            <w:tcW w:w="986" w:type="dxa"/>
            <w:vMerge w:val="continue"/>
            <w:tcBorders>
              <w:top w:val="nil"/>
              <w:left w:val="nil"/>
              <w:bottom w:val="single" w:color="000000" w:sz="4" w:space="0"/>
              <w:right w:val="single" w:color="auto" w:sz="4" w:space="0"/>
            </w:tcBorders>
            <w:shd w:val="clear" w:color="auto" w:fill="auto"/>
            <w:vAlign w:val="center"/>
          </w:tcPr>
          <w:p w14:paraId="77F892F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574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234" w:type="dxa"/>
            <w:vMerge w:val="continue"/>
            <w:tcBorders>
              <w:top w:val="nil"/>
              <w:left w:val="single" w:color="auto" w:sz="4" w:space="0"/>
              <w:bottom w:val="single" w:color="000000" w:sz="4" w:space="0"/>
              <w:right w:val="single" w:color="auto" w:sz="4" w:space="0"/>
            </w:tcBorders>
            <w:shd w:val="clear" w:color="auto" w:fill="auto"/>
            <w:vAlign w:val="center"/>
          </w:tcPr>
          <w:p w14:paraId="2ADD2FB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14" w:type="dxa"/>
            <w:tcBorders>
              <w:top w:val="nil"/>
              <w:left w:val="nil"/>
              <w:bottom w:val="single" w:color="auto" w:sz="4" w:space="0"/>
              <w:right w:val="single" w:color="auto" w:sz="4" w:space="0"/>
            </w:tcBorders>
            <w:shd w:val="clear" w:color="auto" w:fill="auto"/>
            <w:vAlign w:val="center"/>
          </w:tcPr>
          <w:p w14:paraId="4B0132BC">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3.家禽、家畜圈养，圈养地点适宜；禽畜粪便和冲洗笼圈的污水按照有关规定进行处置。放养家禽家畜每处扣1分，圈养地点不适宜每处扣2分，污水粪便乱排放每处扣3分。</w:t>
            </w:r>
          </w:p>
        </w:tc>
        <w:tc>
          <w:tcPr>
            <w:tcW w:w="986" w:type="dxa"/>
            <w:vMerge w:val="continue"/>
            <w:tcBorders>
              <w:top w:val="nil"/>
              <w:left w:val="nil"/>
              <w:bottom w:val="single" w:color="000000" w:sz="4" w:space="0"/>
              <w:right w:val="single" w:color="auto" w:sz="4" w:space="0"/>
            </w:tcBorders>
            <w:shd w:val="clear" w:color="auto" w:fill="auto"/>
            <w:vAlign w:val="center"/>
          </w:tcPr>
          <w:p w14:paraId="445C4F5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1AE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234" w:type="dxa"/>
            <w:vMerge w:val="continue"/>
            <w:tcBorders>
              <w:top w:val="nil"/>
              <w:left w:val="single" w:color="auto" w:sz="4" w:space="0"/>
              <w:bottom w:val="single" w:color="000000" w:sz="4" w:space="0"/>
              <w:right w:val="single" w:color="auto" w:sz="4" w:space="0"/>
            </w:tcBorders>
            <w:shd w:val="clear" w:color="auto" w:fill="auto"/>
            <w:vAlign w:val="center"/>
          </w:tcPr>
          <w:p w14:paraId="54B214E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14" w:type="dxa"/>
            <w:tcBorders>
              <w:top w:val="nil"/>
              <w:left w:val="nil"/>
              <w:bottom w:val="single" w:color="auto" w:sz="4" w:space="0"/>
              <w:right w:val="single" w:color="auto" w:sz="4" w:space="0"/>
            </w:tcBorders>
            <w:shd w:val="clear" w:color="auto" w:fill="auto"/>
            <w:vAlign w:val="center"/>
          </w:tcPr>
          <w:p w14:paraId="32004BAA">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4.污水处理规范。管沟畅通，管沟、井盖完好，暗沟定期疏通；污水处理设施养护良好，运转有效，周边整洁。管沟、井盖破损每处扣1分，管沟堵塞、污水漫流、沟井盖缺置、污水处理设施损坏每处扣2分，污水处理设施无正常运转每处扣5分。</w:t>
            </w:r>
          </w:p>
        </w:tc>
        <w:tc>
          <w:tcPr>
            <w:tcW w:w="986" w:type="dxa"/>
            <w:vMerge w:val="continue"/>
            <w:tcBorders>
              <w:top w:val="nil"/>
              <w:left w:val="nil"/>
              <w:bottom w:val="single" w:color="000000" w:sz="4" w:space="0"/>
              <w:right w:val="single" w:color="auto" w:sz="4" w:space="0"/>
            </w:tcBorders>
            <w:shd w:val="clear" w:color="auto" w:fill="auto"/>
            <w:vAlign w:val="center"/>
          </w:tcPr>
          <w:p w14:paraId="344A923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1E5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234" w:type="dxa"/>
            <w:vMerge w:val="continue"/>
            <w:tcBorders>
              <w:top w:val="nil"/>
              <w:left w:val="single" w:color="auto" w:sz="4" w:space="0"/>
              <w:bottom w:val="single" w:color="000000" w:sz="4" w:space="0"/>
              <w:right w:val="single" w:color="auto" w:sz="4" w:space="0"/>
            </w:tcBorders>
            <w:shd w:val="clear" w:color="auto" w:fill="auto"/>
            <w:vAlign w:val="center"/>
          </w:tcPr>
          <w:p w14:paraId="37BA75E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14" w:type="dxa"/>
            <w:tcBorders>
              <w:top w:val="nil"/>
              <w:left w:val="nil"/>
              <w:bottom w:val="single" w:color="auto" w:sz="4" w:space="0"/>
              <w:right w:val="single" w:color="auto" w:sz="4" w:space="0"/>
            </w:tcBorders>
            <w:shd w:val="clear" w:color="auto" w:fill="auto"/>
            <w:vAlign w:val="center"/>
          </w:tcPr>
          <w:p w14:paraId="796885EE">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5.路面平整，无坑洼破损；路灯、护栏、护坡、挡土墙等公共设施，球场、健身路径、戏台等村民公共活动场所附属设施定期养护，保持完好；各种户外广告、报栏、宣传栏、牌匾、指示标志、警示标志完好、整洁。不合格每处扣1-2分。</w:t>
            </w:r>
          </w:p>
        </w:tc>
        <w:tc>
          <w:tcPr>
            <w:tcW w:w="986" w:type="dxa"/>
            <w:vMerge w:val="continue"/>
            <w:tcBorders>
              <w:top w:val="nil"/>
              <w:left w:val="nil"/>
              <w:bottom w:val="single" w:color="000000" w:sz="4" w:space="0"/>
              <w:right w:val="single" w:color="auto" w:sz="4" w:space="0"/>
            </w:tcBorders>
            <w:shd w:val="clear" w:color="auto" w:fill="auto"/>
            <w:vAlign w:val="center"/>
          </w:tcPr>
          <w:p w14:paraId="70B6417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501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234" w:type="dxa"/>
            <w:vMerge w:val="continue"/>
            <w:tcBorders>
              <w:top w:val="nil"/>
              <w:left w:val="single" w:color="auto" w:sz="4" w:space="0"/>
              <w:bottom w:val="single" w:color="000000" w:sz="4" w:space="0"/>
              <w:right w:val="single" w:color="auto" w:sz="4" w:space="0"/>
            </w:tcBorders>
            <w:shd w:val="clear" w:color="auto" w:fill="auto"/>
            <w:vAlign w:val="center"/>
          </w:tcPr>
          <w:p w14:paraId="1544301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14" w:type="dxa"/>
            <w:tcBorders>
              <w:top w:val="nil"/>
              <w:left w:val="nil"/>
              <w:bottom w:val="single" w:color="auto" w:sz="4" w:space="0"/>
              <w:right w:val="single" w:color="auto" w:sz="4" w:space="0"/>
            </w:tcBorders>
            <w:shd w:val="clear" w:color="auto" w:fill="auto"/>
            <w:vAlign w:val="center"/>
          </w:tcPr>
          <w:p w14:paraId="58A818AD">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6.店家规范经营，门前整洁有序，店招、雨阳棚整齐、完好，不影响行人行车，不影响村容村貌。不合格每处扣1-2分。农村集贸市场所内外整洁，摊贩入场经营。摊贩占道经营每处扣1分，市场环境脏乱每处扣1-2分。</w:t>
            </w:r>
          </w:p>
        </w:tc>
        <w:tc>
          <w:tcPr>
            <w:tcW w:w="986" w:type="dxa"/>
            <w:vMerge w:val="continue"/>
            <w:tcBorders>
              <w:top w:val="nil"/>
              <w:left w:val="nil"/>
              <w:bottom w:val="single" w:color="000000" w:sz="4" w:space="0"/>
              <w:right w:val="single" w:color="auto" w:sz="4" w:space="0"/>
            </w:tcBorders>
            <w:shd w:val="clear" w:color="auto" w:fill="auto"/>
            <w:vAlign w:val="center"/>
          </w:tcPr>
          <w:p w14:paraId="75075A2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5D3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234" w:type="dxa"/>
            <w:vMerge w:val="restart"/>
            <w:tcBorders>
              <w:top w:val="nil"/>
              <w:left w:val="single" w:color="auto" w:sz="4" w:space="0"/>
              <w:bottom w:val="nil"/>
              <w:right w:val="single" w:color="auto" w:sz="4" w:space="0"/>
            </w:tcBorders>
            <w:shd w:val="clear" w:color="auto" w:fill="auto"/>
            <w:vAlign w:val="center"/>
          </w:tcPr>
          <w:p w14:paraId="0CB9E7D7">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农村生活垃圾分类</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（20分）</w:t>
            </w:r>
          </w:p>
        </w:tc>
        <w:tc>
          <w:tcPr>
            <w:tcW w:w="7014" w:type="dxa"/>
            <w:tcBorders>
              <w:top w:val="nil"/>
              <w:left w:val="nil"/>
              <w:bottom w:val="single" w:color="auto" w:sz="4" w:space="0"/>
              <w:right w:val="single" w:color="auto" w:sz="4" w:space="0"/>
            </w:tcBorders>
            <w:shd w:val="clear" w:color="auto" w:fill="auto"/>
            <w:vAlign w:val="center"/>
          </w:tcPr>
          <w:p w14:paraId="6EA0EA46">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1.未开展垃圾分类宣传工作的扣2分，未将垃圾分类纳入村规民约的扣2分，未建立垃圾分类督导机制的扣3分。</w:t>
            </w:r>
          </w:p>
        </w:tc>
        <w:tc>
          <w:tcPr>
            <w:tcW w:w="986" w:type="dxa"/>
            <w:vMerge w:val="restart"/>
            <w:tcBorders>
              <w:top w:val="nil"/>
              <w:left w:val="nil"/>
              <w:bottom w:val="single" w:color="000000" w:sz="4" w:space="0"/>
              <w:right w:val="single" w:color="auto" w:sz="4" w:space="0"/>
            </w:tcBorders>
            <w:shd w:val="clear" w:color="auto" w:fill="auto"/>
            <w:vAlign w:val="center"/>
          </w:tcPr>
          <w:p w14:paraId="6A995BF9">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20分</w:t>
            </w:r>
          </w:p>
        </w:tc>
      </w:tr>
      <w:tr w14:paraId="2941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234" w:type="dxa"/>
            <w:vMerge w:val="continue"/>
            <w:tcBorders>
              <w:top w:val="nil"/>
              <w:left w:val="single" w:color="auto" w:sz="4" w:space="0"/>
              <w:bottom w:val="nil"/>
              <w:right w:val="single" w:color="auto" w:sz="4" w:space="0"/>
            </w:tcBorders>
            <w:shd w:val="clear" w:color="auto" w:fill="auto"/>
            <w:vAlign w:val="center"/>
          </w:tcPr>
          <w:p w14:paraId="4B1A206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14" w:type="dxa"/>
            <w:tcBorders>
              <w:top w:val="nil"/>
              <w:left w:val="nil"/>
              <w:bottom w:val="single" w:color="auto" w:sz="4" w:space="0"/>
              <w:right w:val="single" w:color="auto" w:sz="4" w:space="0"/>
            </w:tcBorders>
            <w:shd w:val="clear" w:color="auto" w:fill="auto"/>
            <w:vAlign w:val="center"/>
          </w:tcPr>
          <w:p w14:paraId="0941372B">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2.村庄公共区域未配备垃圾分类桶扣3分，农户未配备干湿分类桶，仅配置一个干垃圾桶的发现一户扣0.5分（可几户共用一组），未配置的发现一户扣1分；未配置垃圾分类收集车辆的扣3分。</w:t>
            </w:r>
          </w:p>
        </w:tc>
        <w:tc>
          <w:tcPr>
            <w:tcW w:w="986" w:type="dxa"/>
            <w:vMerge w:val="continue"/>
            <w:tcBorders>
              <w:top w:val="nil"/>
              <w:left w:val="nil"/>
              <w:bottom w:val="single" w:color="000000" w:sz="4" w:space="0"/>
              <w:right w:val="single" w:color="auto" w:sz="4" w:space="0"/>
            </w:tcBorders>
            <w:shd w:val="clear" w:color="auto" w:fill="auto"/>
            <w:vAlign w:val="center"/>
          </w:tcPr>
          <w:p w14:paraId="2CE89F3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27D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234" w:type="dxa"/>
            <w:vMerge w:val="continue"/>
            <w:tcBorders>
              <w:top w:val="nil"/>
              <w:left w:val="single" w:color="auto" w:sz="4" w:space="0"/>
              <w:bottom w:val="nil"/>
              <w:right w:val="single" w:color="auto" w:sz="4" w:space="0"/>
            </w:tcBorders>
            <w:shd w:val="clear" w:color="auto" w:fill="auto"/>
            <w:vAlign w:val="center"/>
          </w:tcPr>
          <w:p w14:paraId="098BBBA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014" w:type="dxa"/>
            <w:tcBorders>
              <w:top w:val="nil"/>
              <w:left w:val="nil"/>
              <w:bottom w:val="single" w:color="auto" w:sz="4" w:space="0"/>
              <w:right w:val="single" w:color="auto" w:sz="4" w:space="0"/>
            </w:tcBorders>
            <w:shd w:val="clear" w:color="auto" w:fill="auto"/>
            <w:vAlign w:val="center"/>
          </w:tcPr>
          <w:p w14:paraId="62888759">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3.随机抽查公共区域、农户生活分类情况，公共区域、农户生活分类不到位发现一处扣1分，几乎未分类的一处扣2-3分。</w:t>
            </w:r>
          </w:p>
        </w:tc>
        <w:tc>
          <w:tcPr>
            <w:tcW w:w="986" w:type="dxa"/>
            <w:vMerge w:val="continue"/>
            <w:tcBorders>
              <w:top w:val="nil"/>
              <w:left w:val="nil"/>
              <w:bottom w:val="single" w:color="000000" w:sz="4" w:space="0"/>
              <w:right w:val="single" w:color="auto" w:sz="4" w:space="0"/>
            </w:tcBorders>
            <w:shd w:val="clear" w:color="auto" w:fill="auto"/>
            <w:vAlign w:val="center"/>
          </w:tcPr>
          <w:p w14:paraId="7CAFE04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CEB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288A4033">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合计</w:t>
            </w:r>
          </w:p>
        </w:tc>
        <w:tc>
          <w:tcPr>
            <w:tcW w:w="7014" w:type="dxa"/>
            <w:tcBorders>
              <w:top w:val="nil"/>
              <w:left w:val="nil"/>
              <w:bottom w:val="single" w:color="auto" w:sz="4" w:space="0"/>
              <w:right w:val="single" w:color="auto" w:sz="4" w:space="0"/>
            </w:tcBorders>
            <w:shd w:val="clear" w:color="auto" w:fill="auto"/>
            <w:vAlign w:val="center"/>
          </w:tcPr>
          <w:p w14:paraId="2A65C33C">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986" w:type="dxa"/>
            <w:tcBorders>
              <w:top w:val="nil"/>
              <w:left w:val="nil"/>
              <w:bottom w:val="single" w:color="auto" w:sz="4" w:space="0"/>
              <w:right w:val="single" w:color="auto" w:sz="4" w:space="0"/>
            </w:tcBorders>
            <w:shd w:val="clear" w:color="auto" w:fill="auto"/>
            <w:vAlign w:val="center"/>
          </w:tcPr>
          <w:p w14:paraId="79810517">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100分 </w:t>
            </w:r>
          </w:p>
        </w:tc>
      </w:tr>
      <w:tr w14:paraId="0362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2" w:hRule="atLeast"/>
        </w:trPr>
        <w:tc>
          <w:tcPr>
            <w:tcW w:w="9234" w:type="dxa"/>
            <w:gridSpan w:val="3"/>
            <w:tcBorders>
              <w:top w:val="single" w:color="auto" w:sz="4" w:space="0"/>
              <w:left w:val="nil"/>
              <w:bottom w:val="nil"/>
              <w:right w:val="nil"/>
            </w:tcBorders>
            <w:shd w:val="clear" w:color="auto" w:fill="auto"/>
            <w:vAlign w:val="center"/>
          </w:tcPr>
          <w:p w14:paraId="78C7D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备注：</w:t>
            </w:r>
          </w:p>
          <w:p w14:paraId="54212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1.本标准适用岛外农村生活垃圾治理范围内的村庄（不包含城区市容、城乡接合部的考评点）的村容和环境卫生管理考评。</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 xml:space="preserve">    2.建立区级自查自评工作制度，具体要求如下：</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 xml:space="preserve">   （1）制定区级自查自评年度计划，并于1月30日前报送市考评办；</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 xml:space="preserve">   （2）年度对辖区内村(居)检查次数不少于2次，检查工作须在12月1日前完成；</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 xml:space="preserve">   （3）根据年度计划开展自查自评工作，并于下月份10日前将当月自查自评成绩、情况通报及相关资料报送市考评办；</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 xml:space="preserve">   （4）未按照要求报送自查自评年度计划的，该区每个村庄年度综合成绩扣1分；</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 xml:space="preserve">   （5）无特殊原因，未按计划开展自查自评，村庄自查自评次数每少1次，该村村庄年度综合成绩扣1分；</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 xml:space="preserve">   （6）未按照要求报送当月自查自评成绩、情况通报及相关资料的，弄虚作假的，根据区年度计划该月应查村庄年度综合成绩扣1分。</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 xml:space="preserve">    3.针对以往考评指出问题，及时完成整改的，并提供完整整改材料，当月该考评点考评成绩视情加分，加分上限为2分。</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 xml:space="preserve">    4.垃圾分类工作取得明显成效，近三个月内受市以上领导肯定或被市级以上媒体正面宣传，提供相关材料，当月考评成绩加1-2分。</w:t>
            </w:r>
          </w:p>
        </w:tc>
      </w:tr>
    </w:tbl>
    <w:p w14:paraId="07560232">
      <w:pPr>
        <w:pStyle w:val="11"/>
        <w:ind w:firstLine="480" w:firstLineChars="200"/>
        <w:jc w:val="both"/>
        <w:rPr>
          <w:rFonts w:hint="eastAsia"/>
          <w:color w:val="auto"/>
          <w:sz w:val="24"/>
          <w:szCs w:val="24"/>
          <w:highlight w:val="none"/>
        </w:rPr>
      </w:pPr>
      <w:r>
        <w:rPr>
          <w:rFonts w:hint="eastAsia"/>
          <w:color w:val="auto"/>
          <w:sz w:val="24"/>
          <w:szCs w:val="24"/>
          <w:highlight w:val="none"/>
        </w:rPr>
        <w:t xml:space="preserve"> </w:t>
      </w:r>
    </w:p>
    <w:p w14:paraId="282DBF54">
      <w:pPr>
        <w:pStyle w:val="11"/>
        <w:ind w:firstLine="480" w:firstLineChars="200"/>
        <w:jc w:val="both"/>
        <w:rPr>
          <w:rFonts w:hint="eastAsia"/>
          <w:color w:val="auto"/>
          <w:sz w:val="24"/>
          <w:szCs w:val="24"/>
          <w:highlight w:val="none"/>
        </w:rPr>
        <w:sectPr>
          <w:footerReference r:id="rId3" w:type="default"/>
          <w:pgSz w:w="11906" w:h="16838"/>
          <w:pgMar w:top="1440" w:right="1418" w:bottom="1440" w:left="1418" w:header="851" w:footer="992" w:gutter="0"/>
          <w:pgNumType w:fmt="decimal"/>
          <w:cols w:space="425" w:num="1"/>
          <w:docGrid w:type="lines" w:linePitch="312" w:charSpace="0"/>
        </w:sectPr>
      </w:pPr>
    </w:p>
    <w:p w14:paraId="3E66242B">
      <w:pPr>
        <w:pStyle w:val="11"/>
        <w:jc w:val="both"/>
        <w:rPr>
          <w:rFonts w:hint="eastAsia"/>
          <w:color w:val="auto"/>
          <w:sz w:val="24"/>
          <w:szCs w:val="24"/>
          <w:highlight w:val="none"/>
        </w:rPr>
      </w:pPr>
      <w:r>
        <w:rPr>
          <w:rFonts w:hint="eastAsia"/>
          <w:color w:val="auto"/>
          <w:sz w:val="24"/>
          <w:szCs w:val="24"/>
          <w:highlight w:val="none"/>
          <w:lang w:val="en-US" w:eastAsia="zh-CN"/>
        </w:rPr>
        <w:t>附件3：</w:t>
      </w:r>
    </w:p>
    <w:p w14:paraId="4F08FB88">
      <w:pPr>
        <w:pStyle w:val="11"/>
        <w:ind w:firstLine="480" w:firstLineChars="200"/>
        <w:jc w:val="center"/>
        <w:rPr>
          <w:rFonts w:hint="eastAsia"/>
          <w:color w:val="auto"/>
          <w:sz w:val="24"/>
          <w:szCs w:val="24"/>
          <w:highlight w:val="none"/>
        </w:rPr>
      </w:pPr>
      <w:r>
        <w:rPr>
          <w:rFonts w:hint="eastAsia"/>
          <w:color w:val="auto"/>
          <w:sz w:val="24"/>
          <w:szCs w:val="24"/>
          <w:highlight w:val="none"/>
          <w:lang w:val="en-US" w:eastAsia="zh-CN"/>
        </w:rPr>
        <w:t>安全生产管理协议</w:t>
      </w:r>
    </w:p>
    <w:p w14:paraId="4A5470E4">
      <w:pPr>
        <w:pStyle w:val="11"/>
        <w:ind w:firstLine="480" w:firstLineChars="200"/>
        <w:jc w:val="both"/>
        <w:rPr>
          <w:rFonts w:hint="eastAsia"/>
          <w:color w:val="auto"/>
          <w:sz w:val="24"/>
          <w:szCs w:val="24"/>
          <w:highlight w:val="none"/>
        </w:rPr>
      </w:pPr>
      <w:r>
        <w:rPr>
          <w:rFonts w:hint="eastAsia"/>
          <w:color w:val="auto"/>
          <w:sz w:val="24"/>
          <w:szCs w:val="24"/>
          <w:highlight w:val="none"/>
        </w:rPr>
        <w:t>甲方：厦门市同安区人民政府新美街道办事处</w:t>
      </w:r>
    </w:p>
    <w:p w14:paraId="6B9131A0">
      <w:pPr>
        <w:pStyle w:val="11"/>
        <w:ind w:firstLine="480" w:firstLineChars="200"/>
        <w:jc w:val="both"/>
        <w:rPr>
          <w:rFonts w:hint="eastAsia"/>
          <w:color w:val="auto"/>
          <w:sz w:val="24"/>
          <w:szCs w:val="24"/>
          <w:highlight w:val="none"/>
        </w:rPr>
      </w:pPr>
      <w:r>
        <w:rPr>
          <w:rFonts w:hint="eastAsia"/>
          <w:color w:val="auto"/>
          <w:sz w:val="24"/>
          <w:szCs w:val="24"/>
          <w:highlight w:val="none"/>
        </w:rPr>
        <w:t xml:space="preserve">乙方：                       </w:t>
      </w:r>
    </w:p>
    <w:p w14:paraId="76E70E74">
      <w:pPr>
        <w:pStyle w:val="11"/>
        <w:ind w:firstLine="480" w:firstLineChars="200"/>
        <w:jc w:val="both"/>
        <w:rPr>
          <w:rFonts w:hint="eastAsia"/>
          <w:color w:val="auto"/>
          <w:sz w:val="24"/>
          <w:szCs w:val="24"/>
          <w:highlight w:val="none"/>
        </w:rPr>
      </w:pPr>
      <w:r>
        <w:rPr>
          <w:rFonts w:hint="eastAsia"/>
          <w:color w:val="auto"/>
          <w:sz w:val="24"/>
          <w:szCs w:val="24"/>
          <w:highlight w:val="none"/>
        </w:rPr>
        <w:t>为贯彻“安全第一，预防为主，综合治理”方针，明确甲、乙双方的安全生产责任，保证作业人员的人身安全、防止事故的发生、确保项目作业安全。根据国家有关法律法规，经双方协商一致，签订本协议。</w:t>
      </w:r>
    </w:p>
    <w:p w14:paraId="11D8683B">
      <w:pPr>
        <w:pStyle w:val="11"/>
        <w:ind w:firstLine="480" w:firstLineChars="200"/>
        <w:jc w:val="both"/>
        <w:rPr>
          <w:rFonts w:hint="eastAsia"/>
          <w:color w:val="auto"/>
          <w:sz w:val="24"/>
          <w:szCs w:val="24"/>
          <w:highlight w:val="none"/>
        </w:rPr>
      </w:pPr>
      <w:r>
        <w:rPr>
          <w:rFonts w:hint="eastAsia"/>
          <w:color w:val="auto"/>
          <w:sz w:val="24"/>
          <w:szCs w:val="24"/>
          <w:highlight w:val="none"/>
        </w:rPr>
        <w:t>一、甲方责任</w:t>
      </w:r>
    </w:p>
    <w:p w14:paraId="05E9DE5D">
      <w:pPr>
        <w:pStyle w:val="11"/>
        <w:ind w:firstLine="480" w:firstLineChars="200"/>
        <w:jc w:val="both"/>
        <w:rPr>
          <w:rFonts w:hint="eastAsia"/>
          <w:color w:val="auto"/>
          <w:sz w:val="24"/>
          <w:szCs w:val="24"/>
          <w:highlight w:val="none"/>
        </w:rPr>
      </w:pPr>
      <w:r>
        <w:rPr>
          <w:rFonts w:hint="eastAsia"/>
          <w:color w:val="auto"/>
          <w:sz w:val="24"/>
          <w:szCs w:val="24"/>
          <w:highlight w:val="none"/>
        </w:rPr>
        <w:t>（一）甲方有权督促乙方认真执行国家或地方有关安全生产规定及甲方的安全生产相关管理制度（含甲方现有制度以及项目执行期间甲方制定的各项制度，如有）。</w:t>
      </w:r>
    </w:p>
    <w:p w14:paraId="58C04B93">
      <w:pPr>
        <w:pStyle w:val="11"/>
        <w:ind w:firstLine="480" w:firstLineChars="200"/>
        <w:jc w:val="both"/>
        <w:rPr>
          <w:rFonts w:hint="eastAsia"/>
          <w:color w:val="auto"/>
          <w:sz w:val="24"/>
          <w:szCs w:val="24"/>
          <w:highlight w:val="none"/>
        </w:rPr>
      </w:pPr>
      <w:r>
        <w:rPr>
          <w:rFonts w:hint="eastAsia"/>
          <w:color w:val="auto"/>
          <w:sz w:val="24"/>
          <w:szCs w:val="24"/>
          <w:highlight w:val="none"/>
        </w:rPr>
        <w:t>（二）甲方有权对乙方的安全生产工作统一协调，要求乙方制定相关安全管理制度。</w:t>
      </w:r>
    </w:p>
    <w:p w14:paraId="2B527732">
      <w:pPr>
        <w:pStyle w:val="11"/>
        <w:ind w:firstLine="480" w:firstLineChars="200"/>
        <w:jc w:val="both"/>
        <w:rPr>
          <w:rFonts w:hint="eastAsia"/>
          <w:color w:val="auto"/>
          <w:sz w:val="24"/>
          <w:szCs w:val="24"/>
          <w:highlight w:val="none"/>
        </w:rPr>
      </w:pPr>
      <w:r>
        <w:rPr>
          <w:rFonts w:hint="eastAsia"/>
          <w:color w:val="auto"/>
          <w:sz w:val="24"/>
          <w:szCs w:val="24"/>
          <w:highlight w:val="none"/>
        </w:rPr>
        <w:t>（三）甲方有权根据项目情况要求乙方事先制定作业方案，明确“三措”（组织措施、安全措施、技术措施），经甲方项目主管机构和安全管理部门审查合格后方可作业。</w:t>
      </w:r>
    </w:p>
    <w:p w14:paraId="19CAA2DA">
      <w:pPr>
        <w:pStyle w:val="11"/>
        <w:ind w:firstLine="480" w:firstLineChars="200"/>
        <w:jc w:val="both"/>
        <w:rPr>
          <w:rFonts w:hint="eastAsia"/>
          <w:color w:val="auto"/>
          <w:sz w:val="24"/>
          <w:szCs w:val="24"/>
          <w:highlight w:val="none"/>
        </w:rPr>
      </w:pPr>
      <w:r>
        <w:rPr>
          <w:rFonts w:hint="eastAsia"/>
          <w:color w:val="auto"/>
          <w:sz w:val="24"/>
          <w:szCs w:val="24"/>
          <w:highlight w:val="none"/>
        </w:rPr>
        <w:t>（四）甲方有权检查乙方作业人员持证情况，有权制止无证操作、违章操作。</w:t>
      </w:r>
    </w:p>
    <w:p w14:paraId="1D999576">
      <w:pPr>
        <w:pStyle w:val="11"/>
        <w:ind w:firstLine="480" w:firstLineChars="200"/>
        <w:jc w:val="both"/>
        <w:rPr>
          <w:rFonts w:hint="eastAsia"/>
          <w:color w:val="auto"/>
          <w:sz w:val="24"/>
          <w:szCs w:val="24"/>
          <w:highlight w:val="none"/>
        </w:rPr>
      </w:pPr>
      <w:r>
        <w:rPr>
          <w:rFonts w:hint="eastAsia"/>
          <w:color w:val="auto"/>
          <w:sz w:val="24"/>
          <w:szCs w:val="24"/>
          <w:highlight w:val="none"/>
        </w:rPr>
        <w:t>（五）甲方有权不定期检查乙方对承包项目的作业情况，监督乙方及时处理发现的各种安全隐患，并整改达到安全标准。对严重违章的行为立即勒令停止作业。</w:t>
      </w:r>
    </w:p>
    <w:p w14:paraId="6794C80C">
      <w:pPr>
        <w:pStyle w:val="11"/>
        <w:ind w:firstLine="480" w:firstLineChars="200"/>
        <w:jc w:val="both"/>
        <w:rPr>
          <w:rFonts w:hint="eastAsia"/>
          <w:color w:val="auto"/>
          <w:sz w:val="24"/>
          <w:szCs w:val="24"/>
          <w:highlight w:val="none"/>
        </w:rPr>
      </w:pPr>
      <w:r>
        <w:rPr>
          <w:rFonts w:hint="eastAsia"/>
          <w:color w:val="auto"/>
          <w:sz w:val="24"/>
          <w:szCs w:val="24"/>
          <w:highlight w:val="none"/>
        </w:rPr>
        <w:t>二、乙方责任</w:t>
      </w:r>
    </w:p>
    <w:p w14:paraId="12618729">
      <w:pPr>
        <w:pStyle w:val="11"/>
        <w:ind w:firstLine="480" w:firstLineChars="200"/>
        <w:jc w:val="both"/>
        <w:rPr>
          <w:rFonts w:hint="eastAsia"/>
          <w:color w:val="auto"/>
          <w:sz w:val="24"/>
          <w:szCs w:val="24"/>
          <w:highlight w:val="none"/>
        </w:rPr>
      </w:pPr>
      <w:r>
        <w:rPr>
          <w:rFonts w:hint="eastAsia"/>
          <w:color w:val="auto"/>
          <w:sz w:val="24"/>
          <w:szCs w:val="24"/>
          <w:highlight w:val="none"/>
        </w:rPr>
        <w:t>（一）安全管理要求</w:t>
      </w:r>
    </w:p>
    <w:p w14:paraId="5AC626FD">
      <w:pPr>
        <w:pStyle w:val="11"/>
        <w:ind w:firstLine="480" w:firstLineChars="200"/>
        <w:jc w:val="both"/>
        <w:rPr>
          <w:rFonts w:hint="eastAsia"/>
          <w:color w:val="auto"/>
          <w:sz w:val="24"/>
          <w:szCs w:val="24"/>
          <w:highlight w:val="none"/>
        </w:rPr>
      </w:pPr>
      <w:r>
        <w:rPr>
          <w:rFonts w:hint="eastAsia"/>
          <w:color w:val="auto"/>
          <w:sz w:val="24"/>
          <w:szCs w:val="24"/>
          <w:highlight w:val="none"/>
        </w:rPr>
        <w:t>1.乙方应建立健全的安全管理体制，包括各工种的安全操作规程、特种作业人员的审证考核制度、各级安全生产岗位责任制和定期安全检查、安全教育等制度。</w:t>
      </w:r>
    </w:p>
    <w:p w14:paraId="59BB3B37">
      <w:pPr>
        <w:pStyle w:val="11"/>
        <w:ind w:firstLine="480" w:firstLineChars="200"/>
        <w:jc w:val="both"/>
        <w:rPr>
          <w:rFonts w:hint="eastAsia"/>
          <w:color w:val="auto"/>
          <w:sz w:val="24"/>
          <w:szCs w:val="24"/>
          <w:highlight w:val="none"/>
        </w:rPr>
      </w:pPr>
      <w:r>
        <w:rPr>
          <w:rFonts w:hint="eastAsia"/>
          <w:color w:val="auto"/>
          <w:sz w:val="24"/>
          <w:szCs w:val="24"/>
          <w:highlight w:val="none"/>
        </w:rPr>
        <w:t>2.乙方应严格遵守国家有关法律法规及甲方的相关制度（如有），应根据项目及甲方要求的标准制定安全作业方案，并征得甲方安全管理部门同意。同时对所有作业人员要做好安全教育，进行工作、技术、安全三交底，制定确保作业安全进行的安全技术措施。并对作业中的有害环境因素进行识别、分析评估，对作业人员提出注意事项及管理要求。</w:t>
      </w:r>
    </w:p>
    <w:p w14:paraId="1CD533C0">
      <w:pPr>
        <w:pStyle w:val="11"/>
        <w:ind w:firstLine="480" w:firstLineChars="200"/>
        <w:jc w:val="both"/>
        <w:rPr>
          <w:rFonts w:hint="eastAsia"/>
          <w:color w:val="auto"/>
          <w:sz w:val="24"/>
          <w:szCs w:val="24"/>
          <w:highlight w:val="none"/>
        </w:rPr>
      </w:pPr>
      <w:r>
        <w:rPr>
          <w:rFonts w:hint="eastAsia"/>
          <w:color w:val="auto"/>
          <w:sz w:val="24"/>
          <w:szCs w:val="24"/>
          <w:highlight w:val="none"/>
        </w:rPr>
        <w:t>3.乙方从事路灯、夜景、办公用电、清洁楼设备等电力维修技术工作的作业人员应需具有相关部门颁发的有效电工证。其他特殊作业内容作业人员（包括电工、焊工等）应具备相关从业资格，必须持证上岗，严禁无证、违章操作。</w:t>
      </w:r>
    </w:p>
    <w:p w14:paraId="4FDF3BE4">
      <w:pPr>
        <w:pStyle w:val="11"/>
        <w:ind w:firstLine="480" w:firstLineChars="200"/>
        <w:jc w:val="both"/>
        <w:rPr>
          <w:rFonts w:hint="eastAsia"/>
          <w:color w:val="auto"/>
          <w:sz w:val="24"/>
          <w:szCs w:val="24"/>
          <w:highlight w:val="none"/>
        </w:rPr>
      </w:pPr>
      <w:r>
        <w:rPr>
          <w:rFonts w:hint="eastAsia"/>
          <w:color w:val="auto"/>
          <w:sz w:val="24"/>
          <w:szCs w:val="24"/>
          <w:highlight w:val="none"/>
        </w:rPr>
        <w:t>4.乙方必须根据作业性质，为所有作业人员提供合乎国家或行业标准的个人安全保护用具，包含但不限于手套、口罩、耳塞、护目镜、安全帽、安全带、劳保鞋、工作服等。</w:t>
      </w:r>
    </w:p>
    <w:p w14:paraId="3CB6C5C5">
      <w:pPr>
        <w:pStyle w:val="11"/>
        <w:ind w:firstLine="480" w:firstLineChars="200"/>
        <w:jc w:val="both"/>
        <w:rPr>
          <w:rFonts w:hint="eastAsia"/>
          <w:color w:val="auto"/>
          <w:sz w:val="24"/>
          <w:szCs w:val="24"/>
          <w:highlight w:val="none"/>
        </w:rPr>
      </w:pPr>
      <w:r>
        <w:rPr>
          <w:rFonts w:hint="eastAsia"/>
          <w:color w:val="auto"/>
          <w:sz w:val="24"/>
          <w:szCs w:val="24"/>
          <w:highlight w:val="none"/>
        </w:rPr>
        <w:t>5.乙方应严格履行危险作业工作告知、审批制度，根据作业阶段，将对高处、断路、开挖动土、动火、探伤、有限空间作业、高架地板掀开、动水、动气、临时用电等具有风险性作业必须报甲方单位审批同意，并指派专人负责现场监护。</w:t>
      </w:r>
    </w:p>
    <w:p w14:paraId="05A42EC3">
      <w:pPr>
        <w:pStyle w:val="11"/>
        <w:ind w:firstLine="480" w:firstLineChars="200"/>
        <w:jc w:val="both"/>
        <w:rPr>
          <w:rFonts w:hint="eastAsia"/>
          <w:color w:val="auto"/>
          <w:sz w:val="24"/>
          <w:szCs w:val="24"/>
          <w:highlight w:val="none"/>
        </w:rPr>
      </w:pPr>
      <w:r>
        <w:rPr>
          <w:rFonts w:hint="eastAsia"/>
          <w:color w:val="auto"/>
          <w:sz w:val="24"/>
          <w:szCs w:val="24"/>
          <w:highlight w:val="none"/>
        </w:rPr>
        <w:t>6.乙方对所承担项目涉及到的大修大改，必须制订作业方案，并结合项目实际制定好保证安全的“三大措施” (组织、技术、安全措施)，经甲方项目主管部门、安全管理部门和委托的监理单位审查合格后监督实施。</w:t>
      </w:r>
    </w:p>
    <w:p w14:paraId="229402AD">
      <w:pPr>
        <w:pStyle w:val="11"/>
        <w:ind w:firstLine="480" w:firstLineChars="200"/>
        <w:jc w:val="both"/>
        <w:rPr>
          <w:rFonts w:hint="eastAsia"/>
          <w:color w:val="auto"/>
          <w:sz w:val="24"/>
          <w:szCs w:val="24"/>
          <w:highlight w:val="none"/>
        </w:rPr>
      </w:pPr>
      <w:r>
        <w:rPr>
          <w:rFonts w:hint="eastAsia"/>
          <w:color w:val="auto"/>
          <w:sz w:val="24"/>
          <w:szCs w:val="24"/>
          <w:highlight w:val="none"/>
        </w:rPr>
        <w:t>7.乙方应对特殊的项目或采用特种作业方法的项目制定应急救援预案，采取严格防范措施，配备抢险救援的有关器材。</w:t>
      </w:r>
    </w:p>
    <w:p w14:paraId="359298E0">
      <w:pPr>
        <w:pStyle w:val="11"/>
        <w:ind w:firstLine="480" w:firstLineChars="200"/>
        <w:jc w:val="both"/>
        <w:rPr>
          <w:rFonts w:hint="eastAsia"/>
          <w:color w:val="auto"/>
          <w:sz w:val="24"/>
          <w:szCs w:val="24"/>
          <w:highlight w:val="none"/>
        </w:rPr>
      </w:pPr>
      <w:r>
        <w:rPr>
          <w:rFonts w:hint="eastAsia"/>
          <w:color w:val="auto"/>
          <w:sz w:val="24"/>
          <w:szCs w:val="24"/>
          <w:highlight w:val="none"/>
        </w:rPr>
        <w:t>8.乙方因维修、施工需要用水用电的，必须由甲方指定工作人员在指定地点驳接，乙方不得擅自驳接。</w:t>
      </w:r>
    </w:p>
    <w:p w14:paraId="64974ACC">
      <w:pPr>
        <w:pStyle w:val="11"/>
        <w:ind w:firstLine="480" w:firstLineChars="200"/>
        <w:jc w:val="both"/>
        <w:rPr>
          <w:rFonts w:hint="eastAsia"/>
          <w:color w:val="auto"/>
          <w:sz w:val="24"/>
          <w:szCs w:val="24"/>
          <w:highlight w:val="none"/>
        </w:rPr>
      </w:pPr>
      <w:r>
        <w:rPr>
          <w:rFonts w:hint="eastAsia"/>
          <w:color w:val="auto"/>
          <w:sz w:val="24"/>
          <w:szCs w:val="24"/>
          <w:highlight w:val="none"/>
        </w:rPr>
        <w:t>9.乙方应对其在作业区域和与作业区域相关的区域范围的安全事宜承担全部责任，必须采取有效的安全技术措施，确保生产安全。</w:t>
      </w:r>
    </w:p>
    <w:p w14:paraId="704D8A4E">
      <w:pPr>
        <w:pStyle w:val="11"/>
        <w:ind w:firstLine="480" w:firstLineChars="200"/>
        <w:jc w:val="both"/>
        <w:rPr>
          <w:rFonts w:hint="eastAsia"/>
          <w:color w:val="auto"/>
          <w:sz w:val="24"/>
          <w:szCs w:val="24"/>
          <w:highlight w:val="none"/>
        </w:rPr>
      </w:pPr>
      <w:r>
        <w:rPr>
          <w:rFonts w:hint="eastAsia"/>
          <w:color w:val="auto"/>
          <w:sz w:val="24"/>
          <w:szCs w:val="24"/>
          <w:highlight w:val="none"/>
        </w:rPr>
        <w:t>10.乙方应坚持文明施工，危险作业区域应设警示标志，并配备专职安全检查人员负责现场作业。</w:t>
      </w:r>
    </w:p>
    <w:p w14:paraId="56E430D0">
      <w:pPr>
        <w:pStyle w:val="11"/>
        <w:ind w:firstLine="480" w:firstLineChars="200"/>
        <w:jc w:val="both"/>
        <w:rPr>
          <w:rFonts w:hint="eastAsia"/>
          <w:color w:val="auto"/>
          <w:sz w:val="24"/>
          <w:szCs w:val="24"/>
          <w:highlight w:val="none"/>
        </w:rPr>
      </w:pPr>
      <w:r>
        <w:rPr>
          <w:rFonts w:hint="eastAsia"/>
          <w:color w:val="auto"/>
          <w:sz w:val="24"/>
          <w:szCs w:val="24"/>
          <w:highlight w:val="none"/>
        </w:rPr>
        <w:t>11.乙方需对电缆线路等定期排查，排查配电柜各电器元件接线处是否松动，配电柜定期除尘，发现电缆电线老化或涉水及不文明用电等情况及时上报并整改。</w:t>
      </w:r>
    </w:p>
    <w:p w14:paraId="6F46A8A8">
      <w:pPr>
        <w:pStyle w:val="11"/>
        <w:ind w:firstLine="480" w:firstLineChars="200"/>
        <w:jc w:val="both"/>
        <w:rPr>
          <w:rFonts w:hint="eastAsia"/>
          <w:color w:val="auto"/>
          <w:sz w:val="24"/>
          <w:szCs w:val="24"/>
          <w:highlight w:val="none"/>
        </w:rPr>
      </w:pPr>
      <w:r>
        <w:rPr>
          <w:rFonts w:hint="eastAsia"/>
          <w:color w:val="auto"/>
          <w:sz w:val="24"/>
          <w:szCs w:val="24"/>
          <w:highlight w:val="none"/>
        </w:rPr>
        <w:t>12.乙方应依照《中华人民共和国职业病防治法》针对接触职业危害因素的人员履行告知及安排进行职业健康体检义务。</w:t>
      </w:r>
    </w:p>
    <w:p w14:paraId="43946D16">
      <w:pPr>
        <w:pStyle w:val="11"/>
        <w:ind w:firstLine="480" w:firstLineChars="200"/>
        <w:jc w:val="both"/>
        <w:rPr>
          <w:rFonts w:hint="eastAsia"/>
          <w:color w:val="auto"/>
          <w:sz w:val="24"/>
          <w:szCs w:val="24"/>
          <w:highlight w:val="none"/>
        </w:rPr>
      </w:pPr>
      <w:r>
        <w:rPr>
          <w:rFonts w:hint="eastAsia"/>
          <w:color w:val="auto"/>
          <w:sz w:val="24"/>
          <w:szCs w:val="24"/>
          <w:highlight w:val="none"/>
        </w:rPr>
        <w:t>13.乙方作业过程中，必须注意对文物、地下管线和地面构筑物、建筑物及周围绿化的保护。</w:t>
      </w:r>
    </w:p>
    <w:p w14:paraId="38F25C95">
      <w:pPr>
        <w:pStyle w:val="11"/>
        <w:ind w:firstLine="480" w:firstLineChars="200"/>
        <w:jc w:val="both"/>
        <w:rPr>
          <w:rFonts w:hint="eastAsia"/>
          <w:color w:val="auto"/>
          <w:sz w:val="24"/>
          <w:szCs w:val="24"/>
          <w:highlight w:val="none"/>
        </w:rPr>
      </w:pPr>
      <w:r>
        <w:rPr>
          <w:rFonts w:hint="eastAsia"/>
          <w:color w:val="auto"/>
          <w:sz w:val="24"/>
          <w:szCs w:val="24"/>
          <w:highlight w:val="none"/>
        </w:rPr>
        <w:t>14.乙方车辆进入作业区域时，应先确认车身周围无人，车停稳后方可卸车、装车，卸车、装车时应与库边保持适当距离。当车厢内附着有粘性物料时，应及时清除，以防举升时引起翻车。</w:t>
      </w:r>
    </w:p>
    <w:p w14:paraId="5D08950E">
      <w:pPr>
        <w:pStyle w:val="11"/>
        <w:ind w:firstLine="480" w:firstLineChars="200"/>
        <w:jc w:val="both"/>
        <w:rPr>
          <w:rFonts w:hint="eastAsia"/>
          <w:color w:val="auto"/>
          <w:sz w:val="24"/>
          <w:szCs w:val="24"/>
          <w:highlight w:val="none"/>
        </w:rPr>
      </w:pPr>
      <w:r>
        <w:rPr>
          <w:rFonts w:hint="eastAsia"/>
          <w:color w:val="auto"/>
          <w:sz w:val="24"/>
          <w:szCs w:val="24"/>
          <w:highlight w:val="none"/>
        </w:rPr>
        <w:t>（二）人员安全生产责任要求</w:t>
      </w:r>
    </w:p>
    <w:p w14:paraId="310F5B18">
      <w:pPr>
        <w:pStyle w:val="11"/>
        <w:ind w:firstLine="480" w:firstLineChars="200"/>
        <w:jc w:val="both"/>
        <w:rPr>
          <w:rFonts w:hint="eastAsia"/>
          <w:color w:val="auto"/>
          <w:sz w:val="24"/>
          <w:szCs w:val="24"/>
          <w:highlight w:val="none"/>
        </w:rPr>
      </w:pPr>
      <w:r>
        <w:rPr>
          <w:rFonts w:hint="eastAsia"/>
          <w:color w:val="auto"/>
          <w:sz w:val="24"/>
          <w:szCs w:val="24"/>
          <w:highlight w:val="none"/>
        </w:rPr>
        <w:t>1.乙方的法定代表人（或项目经理人）、安全责任人、现场安全员应对所承接项目的安全生产工作各负其责。</w:t>
      </w:r>
    </w:p>
    <w:p w14:paraId="5CEFD16E">
      <w:pPr>
        <w:pStyle w:val="11"/>
        <w:ind w:firstLine="480" w:firstLineChars="200"/>
        <w:jc w:val="both"/>
        <w:rPr>
          <w:rFonts w:hint="eastAsia"/>
          <w:color w:val="auto"/>
          <w:sz w:val="24"/>
          <w:szCs w:val="24"/>
          <w:highlight w:val="none"/>
        </w:rPr>
      </w:pPr>
      <w:r>
        <w:rPr>
          <w:rFonts w:hint="eastAsia"/>
          <w:color w:val="auto"/>
          <w:sz w:val="24"/>
          <w:szCs w:val="24"/>
          <w:highlight w:val="none"/>
        </w:rPr>
        <w:t>2.法定代表人（或项目经理人）安全生产责任</w:t>
      </w:r>
    </w:p>
    <w:p w14:paraId="6CACBFFF">
      <w:pPr>
        <w:pStyle w:val="11"/>
        <w:ind w:firstLine="480" w:firstLineChars="200"/>
        <w:jc w:val="both"/>
        <w:rPr>
          <w:rFonts w:hint="eastAsia"/>
          <w:color w:val="auto"/>
          <w:sz w:val="24"/>
          <w:szCs w:val="24"/>
          <w:highlight w:val="none"/>
        </w:rPr>
      </w:pPr>
      <w:r>
        <w:rPr>
          <w:rFonts w:hint="eastAsia"/>
          <w:color w:val="auto"/>
          <w:sz w:val="24"/>
          <w:szCs w:val="24"/>
          <w:highlight w:val="none"/>
        </w:rPr>
        <w:t>（1）认真贯彻执行上级安全生产法规、制度，严格劳动纪律，严格按技术规范和安全操作规程组织作业，严禁违章指挥或强令冒险作业。</w:t>
      </w:r>
    </w:p>
    <w:p w14:paraId="3CAE3FA6">
      <w:pPr>
        <w:pStyle w:val="11"/>
        <w:ind w:firstLine="480" w:firstLineChars="200"/>
        <w:jc w:val="both"/>
        <w:rPr>
          <w:rFonts w:hint="eastAsia"/>
          <w:color w:val="auto"/>
          <w:sz w:val="24"/>
          <w:szCs w:val="24"/>
          <w:highlight w:val="none"/>
        </w:rPr>
      </w:pPr>
      <w:r>
        <w:rPr>
          <w:rFonts w:hint="eastAsia"/>
          <w:color w:val="auto"/>
          <w:sz w:val="24"/>
          <w:szCs w:val="24"/>
          <w:highlight w:val="none"/>
        </w:rPr>
        <w:t>（2）根据上级要求，结合担负本项目的任务，制定本作业班组安全规章制度和实施细则。坚持跟班作业，定期召开安全工作会议，组织班组安全活动，及时分析安全生产情况，纠正安全生产中出现的问题。</w:t>
      </w:r>
    </w:p>
    <w:p w14:paraId="30BA933F">
      <w:pPr>
        <w:pStyle w:val="11"/>
        <w:ind w:firstLine="480" w:firstLineChars="200"/>
        <w:jc w:val="both"/>
        <w:rPr>
          <w:rFonts w:hint="eastAsia"/>
          <w:color w:val="auto"/>
          <w:sz w:val="24"/>
          <w:szCs w:val="24"/>
          <w:highlight w:val="none"/>
        </w:rPr>
      </w:pPr>
      <w:r>
        <w:rPr>
          <w:rFonts w:hint="eastAsia"/>
          <w:color w:val="auto"/>
          <w:sz w:val="24"/>
          <w:szCs w:val="24"/>
          <w:highlight w:val="none"/>
        </w:rPr>
        <w:t>（3）开展经常性的安全教育，及时贯彻和落实上级安全生产精神、决议和要求；督促特殊工种作业人员持证上岗；教育员工严格遵守操作规程和劳动纪律，提高自我防范能力。</w:t>
      </w:r>
    </w:p>
    <w:p w14:paraId="6774633B">
      <w:pPr>
        <w:pStyle w:val="11"/>
        <w:ind w:firstLine="480" w:firstLineChars="200"/>
        <w:jc w:val="both"/>
        <w:rPr>
          <w:rFonts w:hint="eastAsia"/>
          <w:color w:val="auto"/>
          <w:sz w:val="24"/>
          <w:szCs w:val="24"/>
          <w:highlight w:val="none"/>
        </w:rPr>
      </w:pPr>
      <w:r>
        <w:rPr>
          <w:rFonts w:hint="eastAsia"/>
          <w:color w:val="auto"/>
          <w:sz w:val="24"/>
          <w:szCs w:val="24"/>
          <w:highlight w:val="none"/>
        </w:rPr>
        <w:t>（4）建立健全安全生产组织，配备专（兼）职安全员，并大力支持安全员的工作，给予必要的工作条件。</w:t>
      </w:r>
    </w:p>
    <w:p w14:paraId="41F42C1B">
      <w:pPr>
        <w:pStyle w:val="11"/>
        <w:ind w:firstLine="480" w:firstLineChars="200"/>
        <w:jc w:val="both"/>
        <w:rPr>
          <w:rFonts w:hint="eastAsia"/>
          <w:color w:val="auto"/>
          <w:sz w:val="24"/>
          <w:szCs w:val="24"/>
          <w:highlight w:val="none"/>
        </w:rPr>
      </w:pPr>
      <w:r>
        <w:rPr>
          <w:rFonts w:hint="eastAsia"/>
          <w:color w:val="auto"/>
          <w:sz w:val="24"/>
          <w:szCs w:val="24"/>
          <w:highlight w:val="none"/>
        </w:rPr>
        <w:t>（5）组织安全检查，及时掌握和了解各工序、工种存在的不安全因素、对事故隐患和上级检查指出的问题认真组织整改。</w:t>
      </w:r>
    </w:p>
    <w:p w14:paraId="3891FCC4">
      <w:pPr>
        <w:pStyle w:val="11"/>
        <w:ind w:firstLine="480" w:firstLineChars="200"/>
        <w:jc w:val="both"/>
        <w:rPr>
          <w:rFonts w:hint="eastAsia"/>
          <w:color w:val="auto"/>
          <w:sz w:val="24"/>
          <w:szCs w:val="24"/>
          <w:highlight w:val="none"/>
        </w:rPr>
      </w:pPr>
      <w:r>
        <w:rPr>
          <w:rFonts w:hint="eastAsia"/>
          <w:color w:val="auto"/>
          <w:sz w:val="24"/>
          <w:szCs w:val="24"/>
          <w:highlight w:val="none"/>
        </w:rPr>
        <w:t>（6）组织保护事故现场和人员抢救工作。在向上级报告事故的同时，采取应急措施，防止事故扩大。对因违章指挥，盲目蛮干或施工现场安全防护缺陷而造成的事故承担直接领导责任。</w:t>
      </w:r>
    </w:p>
    <w:p w14:paraId="707CC7AA">
      <w:pPr>
        <w:pStyle w:val="11"/>
        <w:ind w:firstLine="480" w:firstLineChars="200"/>
        <w:jc w:val="both"/>
        <w:rPr>
          <w:rFonts w:hint="eastAsia"/>
          <w:color w:val="auto"/>
          <w:sz w:val="24"/>
          <w:szCs w:val="24"/>
          <w:highlight w:val="none"/>
        </w:rPr>
      </w:pPr>
      <w:r>
        <w:rPr>
          <w:rFonts w:hint="eastAsia"/>
          <w:color w:val="auto"/>
          <w:sz w:val="24"/>
          <w:szCs w:val="24"/>
          <w:highlight w:val="none"/>
        </w:rPr>
        <w:t>3.安全责任人的安全生产责任</w:t>
      </w:r>
    </w:p>
    <w:p w14:paraId="22368749">
      <w:pPr>
        <w:pStyle w:val="11"/>
        <w:ind w:firstLine="480" w:firstLineChars="200"/>
        <w:jc w:val="both"/>
        <w:rPr>
          <w:rFonts w:hint="eastAsia"/>
          <w:color w:val="auto"/>
          <w:sz w:val="24"/>
          <w:szCs w:val="24"/>
          <w:highlight w:val="none"/>
        </w:rPr>
      </w:pPr>
      <w:r>
        <w:rPr>
          <w:rFonts w:hint="eastAsia"/>
          <w:color w:val="auto"/>
          <w:sz w:val="24"/>
          <w:szCs w:val="24"/>
          <w:highlight w:val="none"/>
        </w:rPr>
        <w:t>（1）带领本部门（或队伍）员工认真落实上级的各项安全生产规章制度，严格执行安全生产规范和操作规程，遵守劳动纪律，制止“三违”（即：违章指挥、违章作业、违反操作规程）行为。</w:t>
      </w:r>
    </w:p>
    <w:p w14:paraId="4CEF0A0E">
      <w:pPr>
        <w:pStyle w:val="11"/>
        <w:ind w:firstLine="480" w:firstLineChars="200"/>
        <w:jc w:val="both"/>
        <w:rPr>
          <w:rFonts w:hint="eastAsia"/>
          <w:color w:val="auto"/>
          <w:sz w:val="24"/>
          <w:szCs w:val="24"/>
          <w:highlight w:val="none"/>
        </w:rPr>
      </w:pPr>
      <w:r>
        <w:rPr>
          <w:rFonts w:hint="eastAsia"/>
          <w:color w:val="auto"/>
          <w:sz w:val="24"/>
          <w:szCs w:val="24"/>
          <w:highlight w:val="none"/>
        </w:rPr>
        <w:t>（2）坚决服从上级领导和安监人员的监督检查，确保安全生产。</w:t>
      </w:r>
    </w:p>
    <w:p w14:paraId="43D0F7A8">
      <w:pPr>
        <w:pStyle w:val="11"/>
        <w:ind w:firstLine="480" w:firstLineChars="200"/>
        <w:jc w:val="both"/>
        <w:rPr>
          <w:rFonts w:hint="eastAsia"/>
          <w:color w:val="auto"/>
          <w:sz w:val="24"/>
          <w:szCs w:val="24"/>
          <w:highlight w:val="none"/>
        </w:rPr>
      </w:pPr>
      <w:r>
        <w:rPr>
          <w:rFonts w:hint="eastAsia"/>
          <w:color w:val="auto"/>
          <w:sz w:val="24"/>
          <w:szCs w:val="24"/>
          <w:highlight w:val="none"/>
        </w:rPr>
        <w:t>（3）认真执行“三工”（工前交代、工中检查、工后讲评）制度，积极开展班（组）安全生产活动，做好班（组）安全活动记录和交接班记录。</w:t>
      </w:r>
    </w:p>
    <w:p w14:paraId="4A65755C">
      <w:pPr>
        <w:pStyle w:val="11"/>
        <w:ind w:firstLine="480" w:firstLineChars="200"/>
        <w:jc w:val="both"/>
        <w:rPr>
          <w:rFonts w:hint="eastAsia"/>
          <w:color w:val="auto"/>
          <w:sz w:val="24"/>
          <w:szCs w:val="24"/>
          <w:highlight w:val="none"/>
        </w:rPr>
      </w:pPr>
      <w:r>
        <w:rPr>
          <w:rFonts w:hint="eastAsia"/>
          <w:color w:val="auto"/>
          <w:sz w:val="24"/>
          <w:szCs w:val="24"/>
          <w:highlight w:val="none"/>
        </w:rPr>
        <w:t>（4）认真组织在岗安全教育和技术学习，不断提高班（组）成员的安全技术素质，做好班中检查，消除事故隐患。</w:t>
      </w:r>
    </w:p>
    <w:p w14:paraId="3460930F">
      <w:pPr>
        <w:pStyle w:val="11"/>
        <w:ind w:firstLine="480" w:firstLineChars="200"/>
        <w:jc w:val="both"/>
        <w:rPr>
          <w:rFonts w:hint="eastAsia"/>
          <w:color w:val="auto"/>
          <w:sz w:val="24"/>
          <w:szCs w:val="24"/>
          <w:highlight w:val="none"/>
        </w:rPr>
      </w:pPr>
      <w:r>
        <w:rPr>
          <w:rFonts w:hint="eastAsia"/>
          <w:color w:val="auto"/>
          <w:sz w:val="24"/>
          <w:szCs w:val="24"/>
          <w:highlight w:val="none"/>
        </w:rPr>
        <w:t>（5）发生人身伤亡事故要立即组织抢救，保护好现场，并立即向上级报告事故情况。</w:t>
      </w:r>
    </w:p>
    <w:p w14:paraId="5AE32116">
      <w:pPr>
        <w:pStyle w:val="11"/>
        <w:ind w:firstLine="480" w:firstLineChars="200"/>
        <w:jc w:val="both"/>
        <w:rPr>
          <w:rFonts w:hint="eastAsia"/>
          <w:color w:val="auto"/>
          <w:sz w:val="24"/>
          <w:szCs w:val="24"/>
          <w:highlight w:val="none"/>
        </w:rPr>
      </w:pPr>
      <w:r>
        <w:rPr>
          <w:rFonts w:hint="eastAsia"/>
          <w:color w:val="auto"/>
          <w:sz w:val="24"/>
          <w:szCs w:val="24"/>
          <w:highlight w:val="none"/>
        </w:rPr>
        <w:t>（6）对因违章作业，盲目蛮干甚至不听指挥而造成的人身伤亡事故和经济损失负直接责任。</w:t>
      </w:r>
    </w:p>
    <w:p w14:paraId="61ADE611">
      <w:pPr>
        <w:pStyle w:val="11"/>
        <w:ind w:firstLine="480" w:firstLineChars="200"/>
        <w:jc w:val="both"/>
        <w:rPr>
          <w:rFonts w:hint="eastAsia"/>
          <w:color w:val="auto"/>
          <w:sz w:val="24"/>
          <w:szCs w:val="24"/>
          <w:highlight w:val="none"/>
        </w:rPr>
      </w:pPr>
      <w:r>
        <w:rPr>
          <w:rFonts w:hint="eastAsia"/>
          <w:color w:val="auto"/>
          <w:sz w:val="24"/>
          <w:szCs w:val="24"/>
          <w:highlight w:val="none"/>
        </w:rPr>
        <w:t>4.专（兼）职安全员安全生产责任</w:t>
      </w:r>
    </w:p>
    <w:p w14:paraId="5C940626">
      <w:pPr>
        <w:pStyle w:val="11"/>
        <w:ind w:firstLine="480" w:firstLineChars="200"/>
        <w:jc w:val="both"/>
        <w:rPr>
          <w:rFonts w:hint="eastAsia"/>
          <w:color w:val="auto"/>
          <w:sz w:val="24"/>
          <w:szCs w:val="24"/>
          <w:highlight w:val="none"/>
        </w:rPr>
      </w:pPr>
      <w:r>
        <w:rPr>
          <w:rFonts w:hint="eastAsia"/>
          <w:color w:val="auto"/>
          <w:sz w:val="24"/>
          <w:szCs w:val="24"/>
          <w:highlight w:val="none"/>
        </w:rPr>
        <w:t>（1）专（兼）职安全员在项目安全责任人的领导下进行工作，业务上受乙方安全部门和人员的领导。</w:t>
      </w:r>
    </w:p>
    <w:p w14:paraId="6253C1BE">
      <w:pPr>
        <w:pStyle w:val="11"/>
        <w:ind w:firstLine="480" w:firstLineChars="200"/>
        <w:jc w:val="both"/>
        <w:rPr>
          <w:rFonts w:hint="eastAsia"/>
          <w:color w:val="auto"/>
          <w:sz w:val="24"/>
          <w:szCs w:val="24"/>
          <w:highlight w:val="none"/>
        </w:rPr>
      </w:pPr>
      <w:r>
        <w:rPr>
          <w:rFonts w:hint="eastAsia"/>
          <w:color w:val="auto"/>
          <w:sz w:val="24"/>
          <w:szCs w:val="24"/>
          <w:highlight w:val="none"/>
        </w:rPr>
        <w:t>（2）协助上级领导贯彻落实安全生产规章制度与防护措施，并经常监督检查，抓好落实工作。</w:t>
      </w:r>
    </w:p>
    <w:p w14:paraId="728D8271">
      <w:pPr>
        <w:pStyle w:val="11"/>
        <w:ind w:firstLine="480" w:firstLineChars="200"/>
        <w:jc w:val="both"/>
        <w:rPr>
          <w:rFonts w:hint="eastAsia"/>
          <w:color w:val="auto"/>
          <w:sz w:val="24"/>
          <w:szCs w:val="24"/>
          <w:highlight w:val="none"/>
        </w:rPr>
      </w:pPr>
      <w:r>
        <w:rPr>
          <w:rFonts w:hint="eastAsia"/>
          <w:color w:val="auto"/>
          <w:sz w:val="24"/>
          <w:szCs w:val="24"/>
          <w:highlight w:val="none"/>
        </w:rPr>
        <w:t>（3）及时发现和制止违章指挥，违章作业行为，纠正和消除人、机、物及环境方面存在的不安全因素，对违章违纪责任者有权扣减50-200元作为违约金。</w:t>
      </w:r>
    </w:p>
    <w:p w14:paraId="72D3A3B5">
      <w:pPr>
        <w:pStyle w:val="11"/>
        <w:ind w:firstLine="480" w:firstLineChars="200"/>
        <w:jc w:val="both"/>
        <w:rPr>
          <w:rFonts w:hint="eastAsia"/>
          <w:color w:val="auto"/>
          <w:sz w:val="24"/>
          <w:szCs w:val="24"/>
          <w:highlight w:val="none"/>
        </w:rPr>
      </w:pPr>
      <w:r>
        <w:rPr>
          <w:rFonts w:hint="eastAsia"/>
          <w:color w:val="auto"/>
          <w:sz w:val="24"/>
          <w:szCs w:val="24"/>
          <w:highlight w:val="none"/>
        </w:rPr>
        <w:t>（4）对危及人员及设备的险情要及时排除，重大险情有权停止施工，并随时向队领导报告，秉公办事，尽职尽责，对因工作失职而造成的伤亡事故承担责任。</w:t>
      </w:r>
    </w:p>
    <w:p w14:paraId="10128E86">
      <w:pPr>
        <w:pStyle w:val="11"/>
        <w:ind w:firstLine="480" w:firstLineChars="200"/>
        <w:jc w:val="both"/>
        <w:rPr>
          <w:rFonts w:hint="eastAsia"/>
          <w:color w:val="auto"/>
          <w:sz w:val="24"/>
          <w:szCs w:val="24"/>
          <w:highlight w:val="none"/>
        </w:rPr>
      </w:pPr>
      <w:r>
        <w:rPr>
          <w:rFonts w:hint="eastAsia"/>
          <w:color w:val="auto"/>
          <w:sz w:val="24"/>
          <w:szCs w:val="24"/>
          <w:highlight w:val="none"/>
        </w:rPr>
        <w:t>（三）其他要求</w:t>
      </w:r>
    </w:p>
    <w:p w14:paraId="0E7B3B3C">
      <w:pPr>
        <w:pStyle w:val="11"/>
        <w:ind w:firstLine="480" w:firstLineChars="200"/>
        <w:jc w:val="both"/>
        <w:rPr>
          <w:rFonts w:hint="eastAsia"/>
          <w:color w:val="auto"/>
          <w:sz w:val="24"/>
          <w:szCs w:val="24"/>
          <w:highlight w:val="none"/>
        </w:rPr>
      </w:pPr>
      <w:r>
        <w:rPr>
          <w:rFonts w:hint="eastAsia"/>
          <w:color w:val="auto"/>
          <w:sz w:val="24"/>
          <w:szCs w:val="24"/>
          <w:highlight w:val="none"/>
        </w:rPr>
        <w:t>1.乙方提供的派驻项目的人员名录交由甲方备案，派驻人员不得擅离其作业区域，不得使用假身份证。乙方应当妥善处理与其派驻项目的作业人员的相关事务，不得损害甲方的正常经营管理秩序。乙方派驻人员与甲方不存在任何劳动法律关系，乙方工作人员不得因被乙方派驻项目工作而追究甲方任何责任。</w:t>
      </w:r>
    </w:p>
    <w:p w14:paraId="4AF6B190">
      <w:pPr>
        <w:pStyle w:val="11"/>
        <w:ind w:firstLine="480" w:firstLineChars="200"/>
        <w:jc w:val="both"/>
        <w:rPr>
          <w:rFonts w:hint="eastAsia"/>
          <w:color w:val="auto"/>
          <w:sz w:val="24"/>
          <w:szCs w:val="24"/>
          <w:highlight w:val="none"/>
        </w:rPr>
      </w:pPr>
      <w:r>
        <w:rPr>
          <w:rFonts w:hint="eastAsia"/>
          <w:color w:val="auto"/>
          <w:sz w:val="24"/>
          <w:szCs w:val="24"/>
          <w:highlight w:val="none"/>
        </w:rPr>
        <w:t>2.乙方应按《劳动法》等法律、法规、规定用工，严禁使用未成年工和有职业禁忌的人员进行施工/作业。且乙方需为派驻工程/作业地点的所有人员购买工伤保险、人身意外险、雇主责任险等相关保险，如发生任何人身以及财产损失均由乙方负责，与甲方无关。</w:t>
      </w:r>
    </w:p>
    <w:p w14:paraId="58562FAE">
      <w:pPr>
        <w:pStyle w:val="11"/>
        <w:ind w:firstLine="480" w:firstLineChars="200"/>
        <w:jc w:val="both"/>
        <w:rPr>
          <w:rFonts w:hint="eastAsia"/>
          <w:color w:val="auto"/>
          <w:sz w:val="24"/>
          <w:szCs w:val="24"/>
          <w:highlight w:val="none"/>
        </w:rPr>
      </w:pPr>
      <w:r>
        <w:rPr>
          <w:rFonts w:hint="eastAsia"/>
          <w:color w:val="auto"/>
          <w:sz w:val="24"/>
          <w:szCs w:val="24"/>
          <w:highlight w:val="none"/>
        </w:rPr>
        <w:t>3.乙方作业中发生人身伤亡的，要按国家规定程序报告有关部门的同时，及时报告甲方安全管理人员，并负责保护好现场。</w:t>
      </w:r>
    </w:p>
    <w:p w14:paraId="3C7DEBF9">
      <w:pPr>
        <w:pStyle w:val="11"/>
        <w:ind w:firstLine="480" w:firstLineChars="200"/>
        <w:jc w:val="both"/>
        <w:rPr>
          <w:rFonts w:hint="eastAsia"/>
          <w:color w:val="auto"/>
          <w:sz w:val="24"/>
          <w:szCs w:val="24"/>
          <w:highlight w:val="none"/>
        </w:rPr>
      </w:pPr>
      <w:r>
        <w:rPr>
          <w:rFonts w:hint="eastAsia"/>
          <w:color w:val="auto"/>
          <w:sz w:val="24"/>
          <w:szCs w:val="24"/>
          <w:highlight w:val="none"/>
        </w:rPr>
        <w:t>4.乙方在任何时候都应采取各种合理的预防措施，防止乙方人员发生任何违法、违禁、暴力或妨碍治安的行为。乙方人员在工作区域内禁止烟火，须做好安全防范工作，如违规私自使用烟火发生安全事故，由乙方负责处理并承担全部责任。</w:t>
      </w:r>
    </w:p>
    <w:p w14:paraId="2B0B73DE">
      <w:pPr>
        <w:pStyle w:val="11"/>
        <w:ind w:firstLine="480" w:firstLineChars="200"/>
        <w:jc w:val="both"/>
        <w:rPr>
          <w:rFonts w:hint="eastAsia"/>
          <w:color w:val="auto"/>
          <w:sz w:val="24"/>
          <w:szCs w:val="24"/>
          <w:highlight w:val="none"/>
        </w:rPr>
      </w:pPr>
      <w:r>
        <w:rPr>
          <w:rFonts w:hint="eastAsia"/>
          <w:color w:val="auto"/>
          <w:sz w:val="24"/>
          <w:szCs w:val="24"/>
          <w:highlight w:val="none"/>
        </w:rPr>
        <w:t>三、违约责任</w:t>
      </w:r>
    </w:p>
    <w:p w14:paraId="57477B8B">
      <w:pPr>
        <w:pStyle w:val="11"/>
        <w:ind w:firstLine="480" w:firstLineChars="200"/>
        <w:jc w:val="both"/>
        <w:rPr>
          <w:rFonts w:hint="eastAsia"/>
          <w:color w:val="auto"/>
          <w:sz w:val="24"/>
          <w:szCs w:val="24"/>
          <w:highlight w:val="none"/>
        </w:rPr>
      </w:pPr>
      <w:r>
        <w:rPr>
          <w:rFonts w:hint="eastAsia"/>
          <w:color w:val="auto"/>
          <w:sz w:val="24"/>
          <w:szCs w:val="24"/>
          <w:highlight w:val="none"/>
        </w:rPr>
        <w:t>1.乙方人员违反本协议约定，甲方工作人员有权禁止其进入甲方公司或现场，因此给甲乙双方合同履行造成不良影响的，由乙方承担全部责任。</w:t>
      </w:r>
    </w:p>
    <w:p w14:paraId="50F380CB">
      <w:pPr>
        <w:pStyle w:val="11"/>
        <w:ind w:firstLine="480" w:firstLineChars="200"/>
        <w:jc w:val="both"/>
        <w:rPr>
          <w:rFonts w:hint="eastAsia"/>
          <w:color w:val="auto"/>
          <w:sz w:val="24"/>
          <w:szCs w:val="24"/>
          <w:highlight w:val="none"/>
        </w:rPr>
      </w:pPr>
      <w:r>
        <w:rPr>
          <w:rFonts w:hint="eastAsia"/>
          <w:color w:val="auto"/>
          <w:sz w:val="24"/>
          <w:szCs w:val="24"/>
          <w:highlight w:val="none"/>
        </w:rPr>
        <w:t>2.乙方在作业过程中对环境造成污染或有其他情形被投诉，在接到甲方要求整改后未按规定时间整改的，甲方有权中止其施工作业，因此造成的误工等所有损失均由乙方完全承担。</w:t>
      </w:r>
    </w:p>
    <w:p w14:paraId="50A00E6A">
      <w:pPr>
        <w:pStyle w:val="11"/>
        <w:ind w:firstLine="480" w:firstLineChars="200"/>
        <w:jc w:val="both"/>
        <w:rPr>
          <w:rFonts w:hint="eastAsia"/>
          <w:color w:val="auto"/>
          <w:sz w:val="24"/>
          <w:szCs w:val="24"/>
          <w:highlight w:val="none"/>
        </w:rPr>
      </w:pPr>
      <w:r>
        <w:rPr>
          <w:rFonts w:hint="eastAsia"/>
          <w:color w:val="auto"/>
          <w:sz w:val="24"/>
          <w:szCs w:val="24"/>
          <w:highlight w:val="none"/>
        </w:rPr>
        <w:t>3.因乙方在作业过程中对环境造成污染或其他情形而受有关单位处罚的，处罚金额由乙方单位承担，受到停工处罚的、造成工期延误的后果由乙方完全承担。</w:t>
      </w:r>
    </w:p>
    <w:p w14:paraId="5BA7F562">
      <w:pPr>
        <w:pStyle w:val="11"/>
        <w:ind w:firstLine="480" w:firstLineChars="200"/>
        <w:jc w:val="both"/>
        <w:rPr>
          <w:rFonts w:hint="eastAsia"/>
          <w:color w:val="auto"/>
          <w:sz w:val="24"/>
          <w:szCs w:val="24"/>
          <w:highlight w:val="none"/>
        </w:rPr>
      </w:pPr>
      <w:r>
        <w:rPr>
          <w:rFonts w:hint="eastAsia"/>
          <w:color w:val="auto"/>
          <w:sz w:val="24"/>
          <w:szCs w:val="24"/>
          <w:highlight w:val="none"/>
        </w:rPr>
        <w:t>4.乙方对作业安全负有全面的责任，甲方或任何第三人在作业范围内发生异常事故、伤亡事故或设备损坏的，除依法由第三人承担责任的外，均由乙方承担相应的责任，乙方应自行妥善处理，甲方不承担任何法律连带责任，若甲方已先行承担责任的，有权向乙方追偿。</w:t>
      </w:r>
    </w:p>
    <w:p w14:paraId="531AAC2B">
      <w:pPr>
        <w:pStyle w:val="11"/>
        <w:ind w:firstLine="480" w:firstLineChars="200"/>
        <w:jc w:val="both"/>
        <w:rPr>
          <w:rFonts w:hint="eastAsia"/>
          <w:color w:val="auto"/>
          <w:sz w:val="24"/>
          <w:szCs w:val="24"/>
          <w:highlight w:val="none"/>
        </w:rPr>
      </w:pPr>
      <w:r>
        <w:rPr>
          <w:rFonts w:hint="eastAsia"/>
          <w:color w:val="auto"/>
          <w:sz w:val="24"/>
          <w:szCs w:val="24"/>
          <w:highlight w:val="none"/>
        </w:rPr>
        <w:t>5.作业中因乙方盲目蛮干、只求速度不按操作规程施工，存在较大安全隐患或服务质量不合格，甲方可要求乙方停工或返工，返工费用由乙方全部承担，由此造成材料浪费及经济损失全部由乙方负责赔偿。</w:t>
      </w:r>
    </w:p>
    <w:p w14:paraId="0EC7EEAC">
      <w:pPr>
        <w:pStyle w:val="11"/>
        <w:ind w:firstLine="480" w:firstLineChars="200"/>
        <w:jc w:val="both"/>
        <w:rPr>
          <w:rFonts w:hint="eastAsia"/>
          <w:color w:val="auto"/>
          <w:sz w:val="24"/>
          <w:szCs w:val="24"/>
          <w:highlight w:val="none"/>
        </w:rPr>
      </w:pPr>
      <w:r>
        <w:rPr>
          <w:rFonts w:hint="eastAsia"/>
          <w:color w:val="auto"/>
          <w:sz w:val="24"/>
          <w:szCs w:val="24"/>
          <w:highlight w:val="none"/>
        </w:rPr>
        <w:t>6.乙方违反现场区域警戒与消防、临时用电、电器设备与照明安全、动火作业、等管理规定进行违章作业的，甲方可向乙方发出隐患整改通知书责令其进行整改。若未造成损害后果的，且乙方按整改要求按期整改完成的，甲方可不予计算违约金；若乙方未按时整改或拒不整改视情节严重程度计算违约金500-2000元/次，若造成损害后果的，乙方还应承担相应的赔偿责任。</w:t>
      </w:r>
    </w:p>
    <w:p w14:paraId="54C71378">
      <w:pPr>
        <w:pStyle w:val="11"/>
        <w:ind w:firstLine="480" w:firstLineChars="200"/>
        <w:jc w:val="both"/>
        <w:rPr>
          <w:rFonts w:hint="eastAsia"/>
          <w:color w:val="auto"/>
          <w:sz w:val="24"/>
          <w:szCs w:val="24"/>
          <w:highlight w:val="none"/>
        </w:rPr>
      </w:pPr>
      <w:r>
        <w:rPr>
          <w:rFonts w:hint="eastAsia"/>
          <w:color w:val="auto"/>
          <w:sz w:val="24"/>
          <w:szCs w:val="24"/>
          <w:highlight w:val="none"/>
        </w:rPr>
        <w:t>7.作业中发生异常事故或人员伤亡事故的，甲方有权视情节情况计算违约金，金额根据甲方制度及损失情况由甲方确定，若本协议与主合同或其他制度约定不一致，以责任或更重或违约金更高的为准。</w:t>
      </w:r>
    </w:p>
    <w:p w14:paraId="50BA353F">
      <w:pPr>
        <w:pStyle w:val="11"/>
        <w:ind w:firstLine="480" w:firstLineChars="200"/>
        <w:jc w:val="both"/>
        <w:rPr>
          <w:rFonts w:hint="eastAsia"/>
          <w:color w:val="auto"/>
          <w:sz w:val="24"/>
          <w:szCs w:val="24"/>
          <w:highlight w:val="none"/>
        </w:rPr>
      </w:pPr>
      <w:r>
        <w:rPr>
          <w:rFonts w:hint="eastAsia"/>
          <w:color w:val="auto"/>
          <w:sz w:val="24"/>
          <w:szCs w:val="24"/>
          <w:highlight w:val="none"/>
        </w:rPr>
        <w:t>8.除本协议另有约定外，乙方违反本协议任一条款，甲方有权要求乙方限期内整改，乙方限期内未整改或未整改至符合甲方要求的，乙方应承担违约金10000元/次，同时甲方保留解除主合同的权利。违约金不足以弥补甲方损失的，乙方还应限期补足。</w:t>
      </w:r>
    </w:p>
    <w:p w14:paraId="05858B09">
      <w:pPr>
        <w:pStyle w:val="11"/>
        <w:ind w:firstLine="480" w:firstLineChars="200"/>
        <w:jc w:val="both"/>
        <w:rPr>
          <w:rFonts w:hint="eastAsia"/>
          <w:color w:val="auto"/>
          <w:sz w:val="24"/>
          <w:szCs w:val="24"/>
          <w:highlight w:val="none"/>
        </w:rPr>
      </w:pPr>
      <w:r>
        <w:rPr>
          <w:rFonts w:hint="eastAsia"/>
          <w:color w:val="auto"/>
          <w:sz w:val="24"/>
          <w:szCs w:val="24"/>
          <w:highlight w:val="none"/>
        </w:rPr>
        <w:t>9.本协议所称损失，包括但不限于甲方的直接、间接的损失、因处理相关争议的支出、诉讼费用、赔偿金额、和解费用、律师费用、第三方索赔、行政罚款等。</w:t>
      </w:r>
    </w:p>
    <w:p w14:paraId="196D2525">
      <w:pPr>
        <w:pStyle w:val="11"/>
        <w:ind w:firstLine="480" w:firstLineChars="200"/>
        <w:jc w:val="both"/>
        <w:rPr>
          <w:rFonts w:hint="eastAsia"/>
          <w:color w:val="auto"/>
          <w:sz w:val="24"/>
          <w:szCs w:val="24"/>
          <w:highlight w:val="none"/>
        </w:rPr>
      </w:pPr>
      <w:r>
        <w:rPr>
          <w:rFonts w:hint="eastAsia"/>
          <w:color w:val="auto"/>
          <w:sz w:val="24"/>
          <w:szCs w:val="24"/>
          <w:highlight w:val="none"/>
        </w:rPr>
        <w:t>10.因乙方违约应承担违约责任的，甲方有权从任一笔尚未支付的合同价款中予以扣除。</w:t>
      </w:r>
    </w:p>
    <w:p w14:paraId="0D02B0EF">
      <w:pPr>
        <w:pStyle w:val="11"/>
        <w:ind w:firstLine="480" w:firstLineChars="200"/>
        <w:jc w:val="both"/>
        <w:rPr>
          <w:rFonts w:hint="eastAsia"/>
          <w:color w:val="auto"/>
          <w:sz w:val="24"/>
          <w:szCs w:val="24"/>
          <w:highlight w:val="none"/>
        </w:rPr>
      </w:pPr>
      <w:r>
        <w:rPr>
          <w:rFonts w:hint="eastAsia"/>
          <w:color w:val="auto"/>
          <w:sz w:val="24"/>
          <w:szCs w:val="24"/>
          <w:highlight w:val="none"/>
        </w:rPr>
        <w:t>四、其他</w:t>
      </w:r>
    </w:p>
    <w:p w14:paraId="697A1E8C">
      <w:pPr>
        <w:pStyle w:val="11"/>
        <w:ind w:firstLine="480" w:firstLineChars="200"/>
        <w:jc w:val="both"/>
        <w:rPr>
          <w:rFonts w:hint="eastAsia"/>
          <w:color w:val="auto"/>
          <w:sz w:val="24"/>
          <w:szCs w:val="24"/>
          <w:highlight w:val="none"/>
        </w:rPr>
      </w:pPr>
      <w:r>
        <w:rPr>
          <w:rFonts w:hint="eastAsia"/>
          <w:color w:val="auto"/>
          <w:sz w:val="24"/>
          <w:szCs w:val="24"/>
          <w:highlight w:val="none"/>
        </w:rPr>
        <w:t>1.本协议未尽事宜，经双方协商处理解决。</w:t>
      </w:r>
    </w:p>
    <w:p w14:paraId="333B6AD6">
      <w:pPr>
        <w:pStyle w:val="11"/>
        <w:ind w:firstLine="480" w:firstLineChars="200"/>
        <w:jc w:val="both"/>
        <w:rPr>
          <w:rFonts w:hint="eastAsia"/>
          <w:color w:val="auto"/>
          <w:sz w:val="24"/>
          <w:szCs w:val="24"/>
          <w:highlight w:val="none"/>
        </w:rPr>
      </w:pPr>
      <w:r>
        <w:rPr>
          <w:rFonts w:hint="eastAsia"/>
          <w:color w:val="auto"/>
          <w:sz w:val="24"/>
          <w:szCs w:val="24"/>
          <w:highlight w:val="none"/>
        </w:rPr>
        <w:t>2.本协议与主合同同时生效。如乙方违反本协议且未履行完责任时，本协议不随主合同项目结束而终止。如乙方已履行完本协议规定的责任和义务，则本协议随主合同同时终止。</w:t>
      </w:r>
    </w:p>
    <w:p w14:paraId="7C9FF066">
      <w:pPr>
        <w:pStyle w:val="11"/>
        <w:ind w:firstLine="480" w:firstLineChars="200"/>
        <w:jc w:val="both"/>
        <w:rPr>
          <w:rFonts w:hint="eastAsia"/>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4D9CFC13">
      <w:pPr>
        <w:pStyle w:val="11"/>
        <w:jc w:val="both"/>
        <w:rPr>
          <w:rFonts w:hint="eastAsia"/>
          <w:color w:val="auto"/>
          <w:sz w:val="24"/>
          <w:szCs w:val="24"/>
          <w:highlight w:val="none"/>
          <w:lang w:val="en-US" w:eastAsia="zh-CN"/>
        </w:rPr>
      </w:pPr>
      <w:r>
        <w:rPr>
          <w:rFonts w:hint="eastAsia"/>
          <w:color w:val="auto"/>
          <w:sz w:val="24"/>
          <w:szCs w:val="24"/>
          <w:highlight w:val="none"/>
        </w:rPr>
        <w:t xml:space="preserve">甲方：厦门市同安区人民政府新美街道办事处                        </w:t>
      </w:r>
      <w:r>
        <w:rPr>
          <w:rFonts w:hint="eastAsia"/>
          <w:color w:val="auto"/>
          <w:sz w:val="24"/>
          <w:szCs w:val="24"/>
          <w:highlight w:val="none"/>
          <w:lang w:val="en-US" w:eastAsia="zh-CN"/>
        </w:rPr>
        <w:t xml:space="preserve">    </w:t>
      </w:r>
    </w:p>
    <w:p w14:paraId="1DC8574D">
      <w:pPr>
        <w:pStyle w:val="11"/>
        <w:jc w:val="both"/>
        <w:rPr>
          <w:rFonts w:hint="eastAsia"/>
          <w:color w:val="auto"/>
          <w:sz w:val="24"/>
          <w:szCs w:val="24"/>
          <w:highlight w:val="none"/>
        </w:rPr>
      </w:pPr>
      <w:r>
        <w:rPr>
          <w:rFonts w:hint="eastAsia"/>
          <w:color w:val="auto"/>
          <w:sz w:val="24"/>
          <w:szCs w:val="24"/>
          <w:highlight w:val="none"/>
        </w:rPr>
        <w:t>乙方：</w:t>
      </w:r>
    </w:p>
    <w:p w14:paraId="161DEE93">
      <w:pPr>
        <w:pStyle w:val="11"/>
        <w:spacing w:before="75" w:after="75"/>
        <w:jc w:val="left"/>
        <w:rPr>
          <w:rFonts w:ascii="仿宋_GB2312" w:hAnsi="仿宋_GB2312" w:eastAsia="仿宋_GB2312" w:cs="仿宋_GB2312"/>
          <w:b/>
          <w:color w:val="auto"/>
          <w:sz w:val="24"/>
          <w:szCs w:val="24"/>
          <w:highlight w:val="none"/>
          <w:shd w:val="clear" w:fill="FFFFFF"/>
        </w:rPr>
      </w:pPr>
    </w:p>
    <w:p w14:paraId="61323ED2">
      <w:pPr>
        <w:pStyle w:val="11"/>
        <w:spacing w:before="75" w:after="75"/>
        <w:jc w:val="left"/>
        <w:rPr>
          <w:rFonts w:ascii="仿宋_GB2312" w:hAnsi="仿宋_GB2312" w:eastAsia="仿宋_GB2312" w:cs="仿宋_GB2312"/>
          <w:b/>
          <w:color w:val="auto"/>
          <w:sz w:val="24"/>
          <w:szCs w:val="24"/>
          <w:highlight w:val="none"/>
          <w:shd w:val="clear" w:fill="FFFFFF"/>
        </w:rPr>
      </w:pPr>
    </w:p>
    <w:p w14:paraId="6F910C93">
      <w:pPr>
        <w:pStyle w:val="11"/>
        <w:spacing w:before="75" w:after="75"/>
        <w:jc w:val="left"/>
        <w:rPr>
          <w:rFonts w:ascii="仿宋_GB2312" w:hAnsi="仿宋_GB2312" w:eastAsia="仿宋_GB2312" w:cs="仿宋_GB2312"/>
          <w:b/>
          <w:color w:val="auto"/>
          <w:sz w:val="24"/>
          <w:szCs w:val="24"/>
          <w:highlight w:val="none"/>
          <w:shd w:val="clear" w:fill="FFFFFF"/>
        </w:rPr>
      </w:pPr>
    </w:p>
    <w:p w14:paraId="25248085">
      <w:pPr>
        <w:pStyle w:val="11"/>
        <w:spacing w:before="75" w:after="75"/>
        <w:jc w:val="left"/>
        <w:rPr>
          <w:rFonts w:ascii="仿宋_GB2312" w:hAnsi="仿宋_GB2312" w:eastAsia="仿宋_GB2312" w:cs="仿宋_GB2312"/>
          <w:b/>
          <w:color w:val="auto"/>
          <w:sz w:val="24"/>
          <w:szCs w:val="24"/>
          <w:highlight w:val="none"/>
          <w:shd w:val="clear" w:fill="FFFFFF"/>
        </w:rPr>
      </w:pPr>
    </w:p>
    <w:p w14:paraId="291A67B0">
      <w:pPr>
        <w:pStyle w:val="11"/>
        <w:spacing w:before="75" w:after="75"/>
        <w:jc w:val="left"/>
        <w:rPr>
          <w:rFonts w:ascii="仿宋_GB2312" w:hAnsi="仿宋_GB2312" w:eastAsia="仿宋_GB2312" w:cs="仿宋_GB2312"/>
          <w:b/>
          <w:color w:val="auto"/>
          <w:sz w:val="24"/>
          <w:szCs w:val="24"/>
          <w:highlight w:val="none"/>
          <w:shd w:val="clear" w:fill="FFFFFF"/>
        </w:rPr>
      </w:pPr>
    </w:p>
    <w:p w14:paraId="381C1A09">
      <w:pPr>
        <w:pStyle w:val="11"/>
        <w:spacing w:before="75" w:after="75"/>
        <w:jc w:val="left"/>
        <w:rPr>
          <w:rFonts w:ascii="仿宋_GB2312" w:hAnsi="仿宋_GB2312" w:eastAsia="仿宋_GB2312" w:cs="仿宋_GB2312"/>
          <w:b/>
          <w:color w:val="auto"/>
          <w:sz w:val="24"/>
          <w:szCs w:val="24"/>
          <w:highlight w:val="none"/>
          <w:shd w:val="clear" w:fill="FFFFFF"/>
        </w:rPr>
      </w:pPr>
    </w:p>
    <w:p w14:paraId="1C0336CC">
      <w:pPr>
        <w:pStyle w:val="11"/>
        <w:spacing w:before="75" w:after="75"/>
        <w:jc w:val="left"/>
        <w:rPr>
          <w:rFonts w:ascii="仿宋_GB2312" w:hAnsi="仿宋_GB2312" w:eastAsia="仿宋_GB2312" w:cs="仿宋_GB2312"/>
          <w:b/>
          <w:color w:val="auto"/>
          <w:sz w:val="24"/>
          <w:szCs w:val="24"/>
          <w:highlight w:val="none"/>
          <w:shd w:val="clear" w:fill="FFFFFF"/>
        </w:rPr>
      </w:pPr>
    </w:p>
    <w:p w14:paraId="6CEF7D49">
      <w:pPr>
        <w:pStyle w:val="11"/>
        <w:spacing w:before="75" w:after="75"/>
        <w:jc w:val="left"/>
        <w:rPr>
          <w:rFonts w:ascii="仿宋_GB2312" w:hAnsi="仿宋_GB2312" w:eastAsia="仿宋_GB2312" w:cs="仿宋_GB2312"/>
          <w:b/>
          <w:color w:val="auto"/>
          <w:sz w:val="24"/>
          <w:szCs w:val="24"/>
          <w:highlight w:val="none"/>
          <w:shd w:val="clear" w:fill="FFFFFF"/>
        </w:rPr>
      </w:pPr>
    </w:p>
    <w:p w14:paraId="18A49838">
      <w:pPr>
        <w:pStyle w:val="11"/>
        <w:spacing w:before="75" w:after="75"/>
        <w:jc w:val="left"/>
        <w:rPr>
          <w:rFonts w:ascii="仿宋_GB2312" w:hAnsi="仿宋_GB2312" w:eastAsia="仿宋_GB2312" w:cs="仿宋_GB2312"/>
          <w:b/>
          <w:color w:val="auto"/>
          <w:sz w:val="24"/>
          <w:szCs w:val="24"/>
          <w:highlight w:val="none"/>
          <w:shd w:val="clear" w:fill="FFFFFF"/>
        </w:rPr>
      </w:pPr>
    </w:p>
    <w:p w14:paraId="79AF80FA">
      <w:pPr>
        <w:pStyle w:val="11"/>
        <w:spacing w:before="75" w:after="75"/>
        <w:jc w:val="left"/>
        <w:rPr>
          <w:rFonts w:ascii="仿宋_GB2312" w:hAnsi="仿宋_GB2312" w:eastAsia="仿宋_GB2312" w:cs="仿宋_GB2312"/>
          <w:b/>
          <w:color w:val="auto"/>
          <w:sz w:val="24"/>
          <w:szCs w:val="24"/>
          <w:highlight w:val="none"/>
          <w:shd w:val="clear" w:fill="FFFFFF"/>
        </w:rPr>
      </w:pPr>
    </w:p>
    <w:p w14:paraId="77608A43">
      <w:pPr>
        <w:pStyle w:val="11"/>
        <w:spacing w:before="75" w:after="75"/>
        <w:jc w:val="left"/>
        <w:rPr>
          <w:rFonts w:ascii="仿宋_GB2312" w:hAnsi="仿宋_GB2312" w:eastAsia="仿宋_GB2312" w:cs="仿宋_GB2312"/>
          <w:b/>
          <w:color w:val="auto"/>
          <w:sz w:val="24"/>
          <w:szCs w:val="24"/>
          <w:highlight w:val="none"/>
          <w:shd w:val="clear" w:fill="FFFFFF"/>
        </w:rPr>
      </w:pPr>
    </w:p>
    <w:p w14:paraId="712A3B47">
      <w:pPr>
        <w:pStyle w:val="11"/>
        <w:spacing w:before="75" w:after="75"/>
        <w:jc w:val="left"/>
        <w:rPr>
          <w:rFonts w:ascii="仿宋_GB2312" w:hAnsi="仿宋_GB2312" w:eastAsia="仿宋_GB2312" w:cs="仿宋_GB2312"/>
          <w:b/>
          <w:color w:val="auto"/>
          <w:sz w:val="24"/>
          <w:szCs w:val="24"/>
          <w:highlight w:val="none"/>
          <w:shd w:val="clear" w:fill="FFFFFF"/>
        </w:rPr>
      </w:pPr>
    </w:p>
    <w:p w14:paraId="5EF61DD5">
      <w:pPr>
        <w:pStyle w:val="11"/>
        <w:spacing w:before="75" w:after="75"/>
        <w:jc w:val="left"/>
        <w:rPr>
          <w:rFonts w:ascii="仿宋_GB2312" w:hAnsi="仿宋_GB2312" w:eastAsia="仿宋_GB2312" w:cs="仿宋_GB2312"/>
          <w:b/>
          <w:color w:val="auto"/>
          <w:sz w:val="24"/>
          <w:szCs w:val="24"/>
          <w:highlight w:val="none"/>
          <w:shd w:val="clear" w:fill="FFFFFF"/>
        </w:rPr>
      </w:pPr>
    </w:p>
    <w:p w14:paraId="59335B4C">
      <w:pPr>
        <w:pStyle w:val="11"/>
        <w:spacing w:before="75" w:after="75"/>
        <w:jc w:val="left"/>
        <w:rPr>
          <w:rFonts w:ascii="仿宋_GB2312" w:hAnsi="仿宋_GB2312" w:eastAsia="仿宋_GB2312" w:cs="仿宋_GB2312"/>
          <w:b/>
          <w:color w:val="auto"/>
          <w:sz w:val="24"/>
          <w:szCs w:val="24"/>
          <w:highlight w:val="none"/>
          <w:shd w:val="clear" w:fill="FFFFFF"/>
        </w:rPr>
      </w:pPr>
    </w:p>
    <w:p w14:paraId="7B3395C6">
      <w:pPr>
        <w:pStyle w:val="11"/>
        <w:spacing w:before="75" w:after="75"/>
        <w:jc w:val="left"/>
        <w:rPr>
          <w:rFonts w:ascii="仿宋_GB2312" w:hAnsi="仿宋_GB2312" w:eastAsia="仿宋_GB2312" w:cs="仿宋_GB2312"/>
          <w:b/>
          <w:color w:val="auto"/>
          <w:sz w:val="24"/>
          <w:szCs w:val="24"/>
          <w:highlight w:val="none"/>
          <w:shd w:val="clear" w:fill="FFFFFF"/>
        </w:rPr>
      </w:pPr>
    </w:p>
    <w:p w14:paraId="6769FF01">
      <w:pPr>
        <w:pStyle w:val="11"/>
        <w:ind w:firstLine="480"/>
        <w:jc w:val="left"/>
        <w:outlineLvl w:val="9"/>
        <w:rPr>
          <w:rFonts w:ascii="宋体" w:hAnsi="宋体" w:eastAsia="宋体" w:cs="宋体"/>
          <w:b/>
          <w:color w:val="auto"/>
          <w:sz w:val="24"/>
          <w:highlight w:val="none"/>
        </w:rPr>
      </w:pPr>
      <w:r>
        <w:rPr>
          <w:rFonts w:hint="eastAsia" w:ascii="宋体" w:hAnsi="宋体" w:eastAsia="宋体" w:cs="宋体"/>
          <w:b/>
          <w:bCs/>
          <w:color w:val="auto"/>
          <w:sz w:val="24"/>
          <w:highlight w:val="none"/>
          <w:shd w:val="clear" w:fill="FFFFFF"/>
        </w:rPr>
        <w:t xml:space="preserve">说明：本补充条款为招标文件组成部分，补充条款内容与招标文件其他地方内容不一致的，以本补充条款内容为准。请投标人仔细阅读。 </w:t>
      </w:r>
    </w:p>
    <w:p w14:paraId="424E5A2B">
      <w:pPr>
        <w:pStyle w:val="11"/>
        <w:spacing w:before="75" w:after="75"/>
        <w:jc w:val="left"/>
        <w:outlineLvl w:val="1"/>
        <w:rPr>
          <w:color w:val="auto"/>
          <w:highlight w:val="none"/>
        </w:rPr>
      </w:pPr>
      <w:bookmarkStart w:id="0" w:name="_Toc9893"/>
      <w:r>
        <w:rPr>
          <w:rFonts w:hint="eastAsia" w:ascii="宋体" w:hAnsi="宋体" w:eastAsia="宋体" w:cs="宋体"/>
          <w:b/>
          <w:color w:val="auto"/>
          <w:sz w:val="24"/>
          <w:highlight w:val="none"/>
          <w:lang w:val="en-US" w:eastAsia="zh-CN"/>
        </w:rPr>
        <w:t>一</w:t>
      </w:r>
      <w:r>
        <w:rPr>
          <w:rFonts w:ascii="宋体" w:hAnsi="宋体" w:eastAsia="宋体" w:cs="宋体"/>
          <w:b/>
          <w:color w:val="auto"/>
          <w:sz w:val="24"/>
          <w:highlight w:val="none"/>
        </w:rPr>
        <w:t>、对《第七章电子投标文件格式》的内容补充如下：</w:t>
      </w:r>
      <w:bookmarkEnd w:id="0"/>
    </w:p>
    <w:p w14:paraId="253BF30C">
      <w:pPr>
        <w:pStyle w:val="11"/>
        <w:spacing w:before="75" w:after="75"/>
        <w:jc w:val="center"/>
        <w:outlineLvl w:val="9"/>
        <w:rPr>
          <w:color w:val="auto"/>
          <w:highlight w:val="none"/>
        </w:rPr>
      </w:pPr>
      <w:r>
        <w:rPr>
          <w:rFonts w:ascii="宋体" w:hAnsi="宋体" w:eastAsia="宋体" w:cs="宋体"/>
          <w:b/>
          <w:color w:val="auto"/>
          <w:sz w:val="24"/>
          <w:highlight w:val="none"/>
        </w:rPr>
        <w:t>（一）《资格及资信证明部分》的格式补充如下：</w:t>
      </w:r>
    </w:p>
    <w:p w14:paraId="32EE403E">
      <w:pPr>
        <w:pStyle w:val="11"/>
        <w:spacing w:before="45" w:after="45"/>
        <w:jc w:val="center"/>
        <w:rPr>
          <w:rFonts w:hint="eastAsia" w:ascii="宋体" w:hAnsi="宋体" w:eastAsia="宋体" w:cs="宋体"/>
          <w:color w:val="auto"/>
          <w:sz w:val="24"/>
          <w:szCs w:val="24"/>
          <w:highlight w:val="none"/>
        </w:rPr>
      </w:pPr>
      <w:r>
        <w:rPr>
          <w:rFonts w:hint="eastAsia" w:ascii="宋体" w:hAnsi="宋体" w:eastAsia="宋体" w:cs="宋体"/>
          <w:b/>
          <w:color w:val="auto"/>
          <w:sz w:val="28"/>
          <w:highlight w:val="none"/>
        </w:rPr>
        <w:t>二-9中小企业声明函</w:t>
      </w:r>
    </w:p>
    <w:p w14:paraId="6794FE64">
      <w:pPr>
        <w:pStyle w:val="1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（整个采购包专门面向中小企业采购项目适用）</w:t>
      </w:r>
    </w:p>
    <w:p w14:paraId="56E232CA">
      <w:pPr>
        <w:pStyle w:val="11"/>
        <w:spacing w:before="240" w:after="24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中小企业声明函（服务）</w:t>
      </w:r>
    </w:p>
    <w:p w14:paraId="1E94B494">
      <w:pPr>
        <w:pStyle w:val="11"/>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】采购活动，服务由符合政策要求的中小企业承接。相关企业（含联合体中的中小企业、签订分包意向协议的中小企业）的具体情况如下：</w:t>
      </w:r>
    </w:p>
    <w:p w14:paraId="1F053D6E">
      <w:pPr>
        <w:pStyle w:val="11"/>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】；承接企业为【  】，从业人员【  】人，营业收入为【  】万元，资产总额为【  】万元，属于【中型企业、小型企业、微型企业】（根据情况选择一项填写）。</w:t>
      </w:r>
    </w:p>
    <w:p w14:paraId="36F83058">
      <w:pPr>
        <w:pStyle w:val="11"/>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FF5361D">
      <w:pPr>
        <w:pStyle w:val="11"/>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33CA3598">
      <w:pPr>
        <w:pStyle w:val="11"/>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r>
        <w:rPr>
          <w:rFonts w:hint="eastAsia" w:ascii="宋体" w:hAnsi="宋体" w:eastAsia="宋体" w:cs="宋体"/>
          <w:color w:val="auto"/>
          <w:sz w:val="24"/>
          <w:szCs w:val="24"/>
          <w:highlight w:val="none"/>
          <w:u w:val="single"/>
        </w:rPr>
        <w:t xml:space="preserve">              </w:t>
      </w:r>
    </w:p>
    <w:p w14:paraId="275D42A1">
      <w:pPr>
        <w:pStyle w:val="11"/>
        <w:ind w:firstLine="40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5558781E">
      <w:pPr>
        <w:pStyle w:val="1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258079B6">
      <w:pPr>
        <w:pStyle w:val="11"/>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其他未列明行业。从业人员300人以下的为中小微型企业。其中，从业人员100人及以上的为中型企业；从业人员10人及以上的为小型企业；从业人员10人以下的为微型企业。填报的企业类型与划型标准不对应的，将可能导致响应无效。</w:t>
      </w:r>
    </w:p>
    <w:p w14:paraId="456A657C">
      <w:pPr>
        <w:pStyle w:val="11"/>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2、从业人员、营业收入、资产总额填报上一年度数据，无上一年度数据的新成立企业可不填报，在【】内填“\”即可。</w:t>
      </w:r>
    </w:p>
    <w:p w14:paraId="3A79582C">
      <w:pPr>
        <w:pStyle w:val="11"/>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营业收入、资产总额应按财务审计报告上的数据填写，可填写完整数值，也可填写取整至万元的数值，如1234.56789万元可填写为1234万元。若填报的数据与供应商自己提供的上一年度财务审计报告数据有出入的，将可能导致响应无效。</w:t>
      </w:r>
    </w:p>
    <w:p w14:paraId="002A7590">
      <w:pPr>
        <w:pStyle w:val="11"/>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4、从业人员数量建议按企业在国家企业信用信息公示系统中填报的上一年度年报数据填写。</w:t>
      </w:r>
    </w:p>
    <w:p w14:paraId="6017E2E5">
      <w:pPr>
        <w:pStyle w:val="11"/>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5、带【】的地方都要填写，同时不得删减、更改内容，否则将可能导致响应无效。</w:t>
      </w:r>
    </w:p>
    <w:p w14:paraId="7A478A6B">
      <w:pPr>
        <w:pStyle w:val="11"/>
        <w:ind w:firstLine="480"/>
        <w:jc w:val="both"/>
        <w:outlineLvl w:val="9"/>
        <w:rPr>
          <w:color w:val="auto"/>
          <w:highlight w:val="none"/>
        </w:rPr>
      </w:pPr>
      <w:r>
        <w:rPr>
          <w:rFonts w:hint="eastAsia" w:ascii="宋体" w:hAnsi="宋体" w:eastAsia="宋体" w:cs="宋体"/>
          <w:color w:val="auto"/>
          <w:sz w:val="24"/>
          <w:szCs w:val="24"/>
          <w:highlight w:val="none"/>
        </w:rPr>
        <w:t xml:space="preserve"> </w:t>
      </w:r>
      <w:r>
        <w:rPr>
          <w:rFonts w:ascii="宋体" w:hAnsi="宋体" w:eastAsia="宋体" w:cs="宋体"/>
          <w:b/>
          <w:color w:val="auto"/>
          <w:sz w:val="24"/>
          <w:highlight w:val="none"/>
        </w:rPr>
        <w:t>（二）《技术商务部分》的格式补充如下：</w:t>
      </w:r>
    </w:p>
    <w:p w14:paraId="7F10DF83">
      <w:pPr>
        <w:pStyle w:val="11"/>
        <w:jc w:val="center"/>
        <w:outlineLvl w:val="1"/>
        <w:rPr>
          <w:color w:val="auto"/>
          <w:highlight w:val="none"/>
        </w:rPr>
      </w:pPr>
      <w:bookmarkStart w:id="1" w:name="_Toc13572"/>
      <w:r>
        <w:rPr>
          <w:rFonts w:ascii="黑体" w:hAnsi="黑体" w:eastAsia="黑体" w:cs="黑体"/>
          <w:b/>
          <w:color w:val="auto"/>
          <w:sz w:val="28"/>
          <w:highlight w:val="none"/>
        </w:rPr>
        <w:t>四、投标人提交的其他资料</w:t>
      </w:r>
      <w:bookmarkEnd w:id="1"/>
    </w:p>
    <w:p w14:paraId="691BD656">
      <w:pPr>
        <w:pStyle w:val="11"/>
        <w:jc w:val="center"/>
        <w:outlineLvl w:val="9"/>
        <w:rPr>
          <w:color w:val="auto"/>
          <w:highlight w:val="none"/>
        </w:rPr>
      </w:pPr>
      <w:r>
        <w:rPr>
          <w:rFonts w:ascii="黑体" w:hAnsi="黑体" w:eastAsia="黑体" w:cs="黑体"/>
          <w:b/>
          <w:color w:val="auto"/>
          <w:sz w:val="28"/>
          <w:highlight w:val="none"/>
        </w:rPr>
        <w:t>（一）带“★”号条款逐条响应情况表</w:t>
      </w:r>
    </w:p>
    <w:p w14:paraId="5150D2C8">
      <w:pPr>
        <w:pStyle w:val="11"/>
        <w:jc w:val="both"/>
        <w:outlineLvl w:val="9"/>
        <w:rPr>
          <w:color w:val="auto"/>
          <w:highlight w:val="none"/>
        </w:rPr>
      </w:pPr>
      <w:r>
        <w:rPr>
          <w:rFonts w:ascii="宋体" w:hAnsi="宋体" w:eastAsia="宋体" w:cs="宋体"/>
          <w:color w:val="auto"/>
          <w:sz w:val="24"/>
          <w:highlight w:val="none"/>
        </w:rPr>
        <w:t>项目名称：</w:t>
      </w:r>
      <w:r>
        <w:rPr>
          <w:color w:val="auto"/>
          <w:highlight w:val="none"/>
          <w:u w:val="single"/>
        </w:rPr>
        <w:t xml:space="preserve">                     </w:t>
      </w:r>
      <w:r>
        <w:rPr>
          <w:rFonts w:ascii="宋体" w:hAnsi="宋体" w:eastAsia="宋体" w:cs="宋体"/>
          <w:color w:val="auto"/>
          <w:sz w:val="24"/>
          <w:highlight w:val="none"/>
        </w:rPr>
        <w:t xml:space="preserve">     招标编号：</w:t>
      </w:r>
      <w:r>
        <w:rPr>
          <w:color w:val="auto"/>
          <w:highlight w:val="none"/>
          <w:u w:val="single"/>
        </w:rPr>
        <w:t xml:space="preserve">            </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4"/>
        <w:gridCol w:w="3179"/>
        <w:gridCol w:w="1733"/>
        <w:gridCol w:w="2420"/>
      </w:tblGrid>
      <w:tr w14:paraId="6A192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72CD48">
            <w:pPr>
              <w:pStyle w:val="11"/>
              <w:jc w:val="center"/>
              <w:outlineLvl w:val="9"/>
              <w:rPr>
                <w:color w:val="auto"/>
                <w:highlight w:val="none"/>
              </w:rPr>
            </w:pPr>
            <w:r>
              <w:rPr>
                <w:rFonts w:ascii="宋体" w:hAnsi="宋体" w:eastAsia="宋体" w:cs="宋体"/>
                <w:color w:val="auto"/>
                <w:sz w:val="20"/>
                <w:highlight w:val="none"/>
              </w:rPr>
              <w:t>条款号</w:t>
            </w:r>
          </w:p>
        </w:tc>
        <w:tc>
          <w:tcPr>
            <w:tcW w:w="31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27889F">
            <w:pPr>
              <w:pStyle w:val="11"/>
              <w:jc w:val="center"/>
              <w:outlineLvl w:val="9"/>
              <w:rPr>
                <w:color w:val="auto"/>
                <w:highlight w:val="none"/>
              </w:rPr>
            </w:pPr>
            <w:r>
              <w:rPr>
                <w:rFonts w:ascii="宋体" w:hAnsi="宋体" w:eastAsia="宋体" w:cs="宋体"/>
                <w:color w:val="auto"/>
                <w:sz w:val="20"/>
                <w:highlight w:val="none"/>
              </w:rPr>
              <w:t>招标文件中带“★”号的条款</w:t>
            </w:r>
          </w:p>
        </w:tc>
        <w:tc>
          <w:tcPr>
            <w:tcW w:w="17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A0E173">
            <w:pPr>
              <w:pStyle w:val="11"/>
              <w:jc w:val="center"/>
              <w:outlineLvl w:val="9"/>
              <w:rPr>
                <w:color w:val="auto"/>
                <w:highlight w:val="none"/>
              </w:rPr>
            </w:pPr>
            <w:r>
              <w:rPr>
                <w:rFonts w:ascii="宋体" w:hAnsi="宋体" w:eastAsia="宋体" w:cs="宋体"/>
                <w:color w:val="auto"/>
                <w:sz w:val="20"/>
                <w:highlight w:val="none"/>
              </w:rPr>
              <w:t>投标响应内容</w:t>
            </w:r>
          </w:p>
        </w:tc>
        <w:tc>
          <w:tcPr>
            <w:tcW w:w="24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3B0295">
            <w:pPr>
              <w:pStyle w:val="11"/>
              <w:jc w:val="center"/>
              <w:outlineLvl w:val="9"/>
              <w:rPr>
                <w:color w:val="auto"/>
                <w:highlight w:val="none"/>
              </w:rPr>
            </w:pPr>
            <w:r>
              <w:rPr>
                <w:rFonts w:ascii="宋体" w:hAnsi="宋体" w:eastAsia="宋体" w:cs="宋体"/>
                <w:color w:val="auto"/>
                <w:sz w:val="20"/>
                <w:highlight w:val="none"/>
              </w:rPr>
              <w:t>对应投标文件页码</w:t>
            </w:r>
          </w:p>
        </w:tc>
      </w:tr>
      <w:tr w14:paraId="4EC76A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97293">
            <w:pPr>
              <w:pStyle w:val="11"/>
              <w:jc w:val="center"/>
              <w:outlineLvl w:val="9"/>
              <w:rPr>
                <w:color w:val="auto"/>
                <w:highlight w:val="none"/>
              </w:rPr>
            </w:pPr>
          </w:p>
        </w:tc>
        <w:tc>
          <w:tcPr>
            <w:tcW w:w="31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2A27D7">
            <w:pPr>
              <w:outlineLvl w:val="9"/>
              <w:rPr>
                <w:color w:val="auto"/>
                <w:highlight w:val="none"/>
              </w:rPr>
            </w:pPr>
          </w:p>
        </w:tc>
        <w:tc>
          <w:tcPr>
            <w:tcW w:w="17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017729">
            <w:pPr>
              <w:outlineLvl w:val="9"/>
              <w:rPr>
                <w:color w:val="auto"/>
                <w:highlight w:val="none"/>
              </w:rPr>
            </w:pPr>
          </w:p>
        </w:tc>
        <w:tc>
          <w:tcPr>
            <w:tcW w:w="24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5A4148">
            <w:pPr>
              <w:outlineLvl w:val="9"/>
              <w:rPr>
                <w:color w:val="auto"/>
                <w:highlight w:val="none"/>
              </w:rPr>
            </w:pPr>
          </w:p>
        </w:tc>
      </w:tr>
      <w:tr w14:paraId="2BC64C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640FE">
            <w:pPr>
              <w:outlineLvl w:val="9"/>
              <w:rPr>
                <w:color w:val="auto"/>
                <w:highlight w:val="none"/>
              </w:rPr>
            </w:pPr>
          </w:p>
        </w:tc>
        <w:tc>
          <w:tcPr>
            <w:tcW w:w="31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1DA314">
            <w:pPr>
              <w:outlineLvl w:val="9"/>
              <w:rPr>
                <w:color w:val="auto"/>
                <w:highlight w:val="none"/>
              </w:rPr>
            </w:pPr>
          </w:p>
        </w:tc>
        <w:tc>
          <w:tcPr>
            <w:tcW w:w="17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6218D">
            <w:pPr>
              <w:outlineLvl w:val="9"/>
              <w:rPr>
                <w:color w:val="auto"/>
                <w:highlight w:val="none"/>
              </w:rPr>
            </w:pPr>
          </w:p>
        </w:tc>
        <w:tc>
          <w:tcPr>
            <w:tcW w:w="24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743CC9">
            <w:pPr>
              <w:outlineLvl w:val="9"/>
              <w:rPr>
                <w:color w:val="auto"/>
                <w:highlight w:val="none"/>
              </w:rPr>
            </w:pPr>
          </w:p>
        </w:tc>
      </w:tr>
      <w:tr w14:paraId="731936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502D9">
            <w:pPr>
              <w:outlineLvl w:val="9"/>
              <w:rPr>
                <w:color w:val="auto"/>
                <w:highlight w:val="none"/>
              </w:rPr>
            </w:pPr>
          </w:p>
        </w:tc>
        <w:tc>
          <w:tcPr>
            <w:tcW w:w="31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DE47C0">
            <w:pPr>
              <w:outlineLvl w:val="9"/>
              <w:rPr>
                <w:color w:val="auto"/>
                <w:highlight w:val="none"/>
              </w:rPr>
            </w:pPr>
          </w:p>
        </w:tc>
        <w:tc>
          <w:tcPr>
            <w:tcW w:w="17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38BD6B">
            <w:pPr>
              <w:outlineLvl w:val="9"/>
              <w:rPr>
                <w:color w:val="auto"/>
                <w:highlight w:val="none"/>
              </w:rPr>
            </w:pPr>
          </w:p>
        </w:tc>
        <w:tc>
          <w:tcPr>
            <w:tcW w:w="24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AA2C91">
            <w:pPr>
              <w:outlineLvl w:val="9"/>
              <w:rPr>
                <w:color w:val="auto"/>
                <w:highlight w:val="none"/>
              </w:rPr>
            </w:pPr>
          </w:p>
        </w:tc>
      </w:tr>
      <w:tr w14:paraId="7639F4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8F418">
            <w:pPr>
              <w:outlineLvl w:val="9"/>
              <w:rPr>
                <w:color w:val="auto"/>
                <w:highlight w:val="none"/>
              </w:rPr>
            </w:pPr>
          </w:p>
        </w:tc>
        <w:tc>
          <w:tcPr>
            <w:tcW w:w="31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7D3E6A">
            <w:pPr>
              <w:outlineLvl w:val="9"/>
              <w:rPr>
                <w:color w:val="auto"/>
                <w:highlight w:val="none"/>
              </w:rPr>
            </w:pPr>
          </w:p>
        </w:tc>
        <w:tc>
          <w:tcPr>
            <w:tcW w:w="17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9224E">
            <w:pPr>
              <w:outlineLvl w:val="9"/>
              <w:rPr>
                <w:color w:val="auto"/>
                <w:highlight w:val="none"/>
              </w:rPr>
            </w:pPr>
          </w:p>
        </w:tc>
        <w:tc>
          <w:tcPr>
            <w:tcW w:w="24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D6C87">
            <w:pPr>
              <w:outlineLvl w:val="9"/>
              <w:rPr>
                <w:color w:val="auto"/>
                <w:highlight w:val="none"/>
              </w:rPr>
            </w:pPr>
          </w:p>
        </w:tc>
      </w:tr>
    </w:tbl>
    <w:p w14:paraId="7D136984">
      <w:pPr>
        <w:pStyle w:val="11"/>
        <w:jc w:val="left"/>
        <w:outlineLvl w:val="9"/>
        <w:rPr>
          <w:color w:val="auto"/>
          <w:highlight w:val="none"/>
        </w:rPr>
      </w:pPr>
      <w:r>
        <w:rPr>
          <w:rFonts w:ascii="宋体" w:hAnsi="宋体" w:eastAsia="宋体" w:cs="宋体"/>
          <w:b/>
          <w:color w:val="auto"/>
          <w:sz w:val="24"/>
          <w:highlight w:val="none"/>
        </w:rPr>
        <w:t>以上★号条款为招标文件中的所有★号条款，无论是技术指标或文字描述要求，投标人必须逐条如实地书面响应。</w:t>
      </w:r>
    </w:p>
    <w:p w14:paraId="7715BE3D">
      <w:pPr>
        <w:pStyle w:val="11"/>
        <w:ind w:firstLine="482"/>
        <w:jc w:val="left"/>
        <w:outlineLvl w:val="9"/>
        <w:rPr>
          <w:color w:val="auto"/>
          <w:highlight w:val="none"/>
        </w:rPr>
      </w:pPr>
      <w:r>
        <w:rPr>
          <w:rFonts w:ascii="宋体" w:hAnsi="宋体" w:eastAsia="宋体" w:cs="宋体"/>
          <w:color w:val="auto"/>
          <w:sz w:val="24"/>
          <w:highlight w:val="none"/>
        </w:rPr>
        <w:t>投标人全称（加盖公章）：</w:t>
      </w:r>
      <w:r>
        <w:rPr>
          <w:color w:val="auto"/>
          <w:highlight w:val="none"/>
          <w:u w:val="single"/>
        </w:rPr>
        <w:t xml:space="preserve">           </w:t>
      </w:r>
    </w:p>
    <w:p w14:paraId="6041EFE4">
      <w:pPr>
        <w:pStyle w:val="11"/>
        <w:ind w:firstLine="4200"/>
        <w:jc w:val="both"/>
        <w:outlineLvl w:val="9"/>
        <w:rPr>
          <w:color w:val="auto"/>
          <w:highlight w:val="none"/>
        </w:rPr>
      </w:pPr>
      <w:r>
        <w:rPr>
          <w:rFonts w:ascii="宋体" w:hAnsi="宋体" w:eastAsia="宋体" w:cs="宋体"/>
          <w:color w:val="auto"/>
          <w:sz w:val="24"/>
          <w:highlight w:val="none"/>
        </w:rPr>
        <w:t>日   期：</w:t>
      </w:r>
      <w:r>
        <w:rPr>
          <w:color w:val="auto"/>
          <w:highlight w:val="none"/>
          <w:u w:val="single"/>
        </w:rPr>
        <w:t xml:space="preserve">                        </w:t>
      </w:r>
    </w:p>
    <w:p w14:paraId="0D392266">
      <w:pPr>
        <w:pStyle w:val="11"/>
        <w:jc w:val="center"/>
        <w:outlineLvl w:val="9"/>
        <w:rPr>
          <w:color w:val="auto"/>
          <w:highlight w:val="none"/>
        </w:rPr>
      </w:pPr>
      <w:r>
        <w:rPr>
          <w:rFonts w:ascii="黑体" w:hAnsi="黑体" w:eastAsia="黑体" w:cs="黑体"/>
          <w:b/>
          <w:color w:val="auto"/>
          <w:sz w:val="28"/>
          <w:highlight w:val="none"/>
        </w:rPr>
        <w:t>（二）技术商务评分响应索引表</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53"/>
        <w:gridCol w:w="4424"/>
        <w:gridCol w:w="2829"/>
      </w:tblGrid>
      <w:tr w14:paraId="60DFAF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3" w:type="dxa"/>
            <w:tcBorders>
              <w:top w:val="double" w:color="000000" w:sz="8" w:space="0"/>
              <w:left w:val="double" w:color="000000" w:sz="8" w:space="0"/>
              <w:bottom w:val="single" w:color="000000" w:sz="4" w:space="0"/>
              <w:right w:val="single" w:color="000000" w:sz="4" w:space="0"/>
            </w:tcBorders>
            <w:tcMar>
              <w:top w:w="0" w:type="dxa"/>
              <w:left w:w="105" w:type="dxa"/>
              <w:bottom w:w="0" w:type="dxa"/>
              <w:right w:w="105" w:type="dxa"/>
            </w:tcMar>
            <w:vAlign w:val="top"/>
          </w:tcPr>
          <w:p w14:paraId="63797C9B">
            <w:pPr>
              <w:pStyle w:val="11"/>
              <w:jc w:val="center"/>
              <w:outlineLvl w:val="9"/>
              <w:rPr>
                <w:color w:val="auto"/>
                <w:highlight w:val="none"/>
              </w:rPr>
            </w:pPr>
            <w:r>
              <w:rPr>
                <w:rFonts w:ascii="宋体" w:hAnsi="宋体" w:eastAsia="宋体" w:cs="宋体"/>
                <w:color w:val="auto"/>
                <w:sz w:val="24"/>
                <w:highlight w:val="none"/>
              </w:rPr>
              <w:t>序号</w:t>
            </w:r>
          </w:p>
        </w:tc>
        <w:tc>
          <w:tcPr>
            <w:tcW w:w="4424" w:type="dxa"/>
            <w:tcBorders>
              <w:top w:val="double" w:color="000000" w:sz="8" w:space="0"/>
              <w:left w:val="nil"/>
              <w:bottom w:val="single" w:color="000000" w:sz="4" w:space="0"/>
              <w:right w:val="single" w:color="000000" w:sz="4" w:space="0"/>
            </w:tcBorders>
            <w:tcMar>
              <w:top w:w="0" w:type="dxa"/>
              <w:left w:w="105" w:type="dxa"/>
              <w:bottom w:w="0" w:type="dxa"/>
              <w:right w:w="105" w:type="dxa"/>
            </w:tcMar>
            <w:vAlign w:val="top"/>
          </w:tcPr>
          <w:p w14:paraId="2811EFFF">
            <w:pPr>
              <w:pStyle w:val="11"/>
              <w:jc w:val="center"/>
              <w:outlineLvl w:val="9"/>
              <w:rPr>
                <w:color w:val="auto"/>
                <w:highlight w:val="none"/>
              </w:rPr>
            </w:pPr>
            <w:r>
              <w:rPr>
                <w:rFonts w:ascii="宋体" w:hAnsi="宋体" w:eastAsia="宋体" w:cs="宋体"/>
                <w:color w:val="auto"/>
                <w:sz w:val="24"/>
                <w:highlight w:val="none"/>
              </w:rPr>
              <w:t>评分标准要求</w:t>
            </w:r>
          </w:p>
        </w:tc>
        <w:tc>
          <w:tcPr>
            <w:tcW w:w="2829" w:type="dxa"/>
            <w:tcBorders>
              <w:top w:val="double" w:color="000000" w:sz="8" w:space="0"/>
              <w:left w:val="nil"/>
              <w:bottom w:val="single" w:color="000000" w:sz="4" w:space="0"/>
              <w:right w:val="double" w:color="000000" w:sz="8" w:space="0"/>
            </w:tcBorders>
            <w:tcMar>
              <w:top w:w="0" w:type="dxa"/>
              <w:left w:w="105" w:type="dxa"/>
              <w:bottom w:w="0" w:type="dxa"/>
              <w:right w:w="105" w:type="dxa"/>
            </w:tcMar>
            <w:vAlign w:val="top"/>
          </w:tcPr>
          <w:p w14:paraId="1A25CAA3">
            <w:pPr>
              <w:pStyle w:val="11"/>
              <w:jc w:val="center"/>
              <w:outlineLvl w:val="9"/>
              <w:rPr>
                <w:color w:val="auto"/>
                <w:highlight w:val="none"/>
              </w:rPr>
            </w:pPr>
            <w:r>
              <w:rPr>
                <w:rFonts w:ascii="宋体" w:hAnsi="宋体" w:eastAsia="宋体" w:cs="宋体"/>
                <w:color w:val="auto"/>
                <w:sz w:val="24"/>
                <w:highlight w:val="none"/>
              </w:rPr>
              <w:t>对应投标文件页码</w:t>
            </w:r>
          </w:p>
        </w:tc>
      </w:tr>
      <w:tr w14:paraId="5192AF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3"/>
            <w:tcBorders>
              <w:top w:val="nil"/>
              <w:left w:val="double" w:color="000000" w:sz="8" w:space="0"/>
              <w:bottom w:val="single" w:color="000000" w:sz="4" w:space="0"/>
              <w:right w:val="double" w:color="000000" w:sz="8" w:space="0"/>
            </w:tcBorders>
            <w:tcMar>
              <w:top w:w="0" w:type="dxa"/>
              <w:left w:w="105" w:type="dxa"/>
              <w:bottom w:w="0" w:type="dxa"/>
              <w:right w:w="105" w:type="dxa"/>
            </w:tcMar>
            <w:vAlign w:val="top"/>
          </w:tcPr>
          <w:p w14:paraId="73E9DA81">
            <w:pPr>
              <w:pStyle w:val="11"/>
              <w:jc w:val="center"/>
              <w:outlineLvl w:val="9"/>
              <w:rPr>
                <w:color w:val="auto"/>
                <w:highlight w:val="none"/>
              </w:rPr>
            </w:pPr>
            <w:r>
              <w:rPr>
                <w:rFonts w:ascii="宋体" w:hAnsi="宋体" w:eastAsia="宋体" w:cs="宋体"/>
                <w:color w:val="auto"/>
                <w:sz w:val="24"/>
                <w:highlight w:val="none"/>
              </w:rPr>
              <w:t>技术因素评分</w:t>
            </w:r>
          </w:p>
        </w:tc>
      </w:tr>
      <w:tr w14:paraId="29A180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3" w:type="dxa"/>
            <w:tcBorders>
              <w:top w:val="nil"/>
              <w:left w:val="double" w:color="000000" w:sz="8" w:space="0"/>
              <w:bottom w:val="single" w:color="000000" w:sz="4" w:space="0"/>
              <w:right w:val="single" w:color="000000" w:sz="4" w:space="0"/>
            </w:tcBorders>
            <w:tcMar>
              <w:top w:w="0" w:type="dxa"/>
              <w:left w:w="105" w:type="dxa"/>
              <w:bottom w:w="0" w:type="dxa"/>
              <w:right w:w="105" w:type="dxa"/>
            </w:tcMar>
            <w:vAlign w:val="top"/>
          </w:tcPr>
          <w:p w14:paraId="75CB6B83">
            <w:pPr>
              <w:pStyle w:val="11"/>
              <w:jc w:val="center"/>
              <w:outlineLvl w:val="9"/>
              <w:rPr>
                <w:color w:val="auto"/>
                <w:highlight w:val="none"/>
              </w:rPr>
            </w:pPr>
            <w:r>
              <w:rPr>
                <w:rFonts w:ascii="宋体" w:hAnsi="宋体" w:eastAsia="宋体" w:cs="宋体"/>
                <w:color w:val="auto"/>
                <w:sz w:val="24"/>
                <w:highlight w:val="none"/>
              </w:rPr>
              <w:t>1-1</w:t>
            </w:r>
          </w:p>
        </w:tc>
        <w:tc>
          <w:tcPr>
            <w:tcW w:w="44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6ECCE0">
            <w:pPr>
              <w:pStyle w:val="11"/>
              <w:jc w:val="center"/>
              <w:outlineLvl w:val="9"/>
              <w:rPr>
                <w:color w:val="auto"/>
                <w:highlight w:val="none"/>
              </w:rPr>
            </w:pPr>
          </w:p>
        </w:tc>
        <w:tc>
          <w:tcPr>
            <w:tcW w:w="2829" w:type="dxa"/>
            <w:tcBorders>
              <w:top w:val="single" w:color="000000" w:sz="4" w:space="0"/>
              <w:left w:val="nil"/>
              <w:bottom w:val="single" w:color="000000" w:sz="4" w:space="0"/>
              <w:right w:val="double" w:color="000000" w:sz="8" w:space="0"/>
            </w:tcBorders>
            <w:tcMar>
              <w:top w:w="0" w:type="dxa"/>
              <w:left w:w="105" w:type="dxa"/>
              <w:bottom w:w="0" w:type="dxa"/>
              <w:right w:w="105" w:type="dxa"/>
            </w:tcMar>
            <w:vAlign w:val="top"/>
          </w:tcPr>
          <w:p w14:paraId="46D05459">
            <w:pPr>
              <w:outlineLvl w:val="9"/>
              <w:rPr>
                <w:color w:val="auto"/>
                <w:highlight w:val="none"/>
              </w:rPr>
            </w:pPr>
          </w:p>
        </w:tc>
      </w:tr>
      <w:tr w14:paraId="12147E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3" w:type="dxa"/>
            <w:tcBorders>
              <w:top w:val="nil"/>
              <w:left w:val="double" w:color="000000" w:sz="8" w:space="0"/>
              <w:bottom w:val="single" w:color="000000" w:sz="4" w:space="0"/>
              <w:right w:val="single" w:color="000000" w:sz="4" w:space="0"/>
            </w:tcBorders>
            <w:tcMar>
              <w:top w:w="0" w:type="dxa"/>
              <w:left w:w="105" w:type="dxa"/>
              <w:bottom w:w="0" w:type="dxa"/>
              <w:right w:w="105" w:type="dxa"/>
            </w:tcMar>
            <w:vAlign w:val="top"/>
          </w:tcPr>
          <w:p w14:paraId="4C4B8171">
            <w:pPr>
              <w:pStyle w:val="11"/>
              <w:jc w:val="center"/>
              <w:outlineLvl w:val="9"/>
              <w:rPr>
                <w:color w:val="auto"/>
                <w:highlight w:val="none"/>
              </w:rPr>
            </w:pPr>
            <w:r>
              <w:rPr>
                <w:rFonts w:ascii="宋体" w:hAnsi="宋体" w:eastAsia="宋体" w:cs="宋体"/>
                <w:color w:val="auto"/>
                <w:sz w:val="24"/>
                <w:highlight w:val="none"/>
              </w:rPr>
              <w:t>1-2</w:t>
            </w:r>
          </w:p>
        </w:tc>
        <w:tc>
          <w:tcPr>
            <w:tcW w:w="44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A4381A">
            <w:pPr>
              <w:pStyle w:val="11"/>
              <w:jc w:val="center"/>
              <w:outlineLvl w:val="9"/>
              <w:rPr>
                <w:color w:val="auto"/>
                <w:highlight w:val="none"/>
              </w:rPr>
            </w:pPr>
          </w:p>
        </w:tc>
        <w:tc>
          <w:tcPr>
            <w:tcW w:w="2829" w:type="dxa"/>
            <w:tcBorders>
              <w:top w:val="nil"/>
              <w:left w:val="nil"/>
              <w:bottom w:val="single" w:color="000000" w:sz="4" w:space="0"/>
              <w:right w:val="double" w:color="000000" w:sz="8" w:space="0"/>
            </w:tcBorders>
            <w:tcMar>
              <w:top w:w="0" w:type="dxa"/>
              <w:left w:w="105" w:type="dxa"/>
              <w:bottom w:w="0" w:type="dxa"/>
              <w:right w:w="105" w:type="dxa"/>
            </w:tcMar>
            <w:vAlign w:val="top"/>
          </w:tcPr>
          <w:p w14:paraId="5EF0080D">
            <w:pPr>
              <w:outlineLvl w:val="9"/>
              <w:rPr>
                <w:color w:val="auto"/>
                <w:highlight w:val="none"/>
              </w:rPr>
            </w:pPr>
          </w:p>
        </w:tc>
      </w:tr>
      <w:tr w14:paraId="7B210E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3"/>
            <w:tcBorders>
              <w:top w:val="nil"/>
              <w:left w:val="double" w:color="000000" w:sz="8" w:space="0"/>
              <w:bottom w:val="single" w:color="000000" w:sz="4" w:space="0"/>
              <w:right w:val="double" w:color="000000" w:sz="8" w:space="0"/>
            </w:tcBorders>
            <w:tcMar>
              <w:top w:w="0" w:type="dxa"/>
              <w:left w:w="105" w:type="dxa"/>
              <w:bottom w:w="0" w:type="dxa"/>
              <w:right w:w="105" w:type="dxa"/>
            </w:tcMar>
            <w:vAlign w:val="top"/>
          </w:tcPr>
          <w:p w14:paraId="31C4C2B4">
            <w:pPr>
              <w:pStyle w:val="11"/>
              <w:jc w:val="center"/>
              <w:outlineLvl w:val="9"/>
              <w:rPr>
                <w:color w:val="auto"/>
                <w:highlight w:val="none"/>
              </w:rPr>
            </w:pPr>
            <w:r>
              <w:rPr>
                <w:rFonts w:ascii="宋体" w:hAnsi="宋体" w:eastAsia="宋体" w:cs="宋体"/>
                <w:color w:val="auto"/>
                <w:sz w:val="24"/>
                <w:highlight w:val="none"/>
              </w:rPr>
              <w:t>商务因素评分</w:t>
            </w:r>
          </w:p>
        </w:tc>
      </w:tr>
      <w:tr w14:paraId="1E11B7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3" w:type="dxa"/>
            <w:tcBorders>
              <w:top w:val="nil"/>
              <w:left w:val="double" w:color="000000" w:sz="8" w:space="0"/>
              <w:bottom w:val="single" w:color="000000" w:sz="4" w:space="0"/>
              <w:right w:val="single" w:color="000000" w:sz="4" w:space="0"/>
            </w:tcBorders>
            <w:tcMar>
              <w:top w:w="0" w:type="dxa"/>
              <w:left w:w="105" w:type="dxa"/>
              <w:bottom w:w="0" w:type="dxa"/>
              <w:right w:w="105" w:type="dxa"/>
            </w:tcMar>
            <w:vAlign w:val="top"/>
          </w:tcPr>
          <w:p w14:paraId="3D0408B7">
            <w:pPr>
              <w:pStyle w:val="11"/>
              <w:jc w:val="center"/>
              <w:outlineLvl w:val="9"/>
              <w:rPr>
                <w:color w:val="auto"/>
                <w:highlight w:val="none"/>
              </w:rPr>
            </w:pPr>
            <w:r>
              <w:rPr>
                <w:rFonts w:ascii="宋体" w:hAnsi="宋体" w:eastAsia="宋体" w:cs="宋体"/>
                <w:color w:val="auto"/>
                <w:sz w:val="24"/>
                <w:highlight w:val="none"/>
              </w:rPr>
              <w:t>2-1</w:t>
            </w:r>
          </w:p>
        </w:tc>
        <w:tc>
          <w:tcPr>
            <w:tcW w:w="44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8B5EE1">
            <w:pPr>
              <w:pStyle w:val="11"/>
              <w:jc w:val="center"/>
              <w:outlineLvl w:val="9"/>
              <w:rPr>
                <w:color w:val="auto"/>
                <w:highlight w:val="none"/>
              </w:rPr>
            </w:pPr>
          </w:p>
        </w:tc>
        <w:tc>
          <w:tcPr>
            <w:tcW w:w="2829" w:type="dxa"/>
            <w:tcBorders>
              <w:top w:val="single" w:color="000000" w:sz="4" w:space="0"/>
              <w:left w:val="nil"/>
              <w:bottom w:val="single" w:color="000000" w:sz="4" w:space="0"/>
              <w:right w:val="double" w:color="000000" w:sz="8" w:space="0"/>
            </w:tcBorders>
            <w:tcMar>
              <w:top w:w="0" w:type="dxa"/>
              <w:left w:w="105" w:type="dxa"/>
              <w:bottom w:w="0" w:type="dxa"/>
              <w:right w:w="105" w:type="dxa"/>
            </w:tcMar>
            <w:vAlign w:val="top"/>
          </w:tcPr>
          <w:p w14:paraId="15828E4E">
            <w:pPr>
              <w:outlineLvl w:val="9"/>
              <w:rPr>
                <w:color w:val="auto"/>
                <w:highlight w:val="none"/>
              </w:rPr>
            </w:pPr>
          </w:p>
        </w:tc>
      </w:tr>
      <w:tr w14:paraId="1E2D2C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3" w:type="dxa"/>
            <w:tcBorders>
              <w:top w:val="nil"/>
              <w:left w:val="double" w:color="000000" w:sz="8" w:space="0"/>
              <w:bottom w:val="double" w:color="000000" w:sz="8" w:space="0"/>
              <w:right w:val="single" w:color="000000" w:sz="4" w:space="0"/>
            </w:tcBorders>
            <w:tcMar>
              <w:top w:w="0" w:type="dxa"/>
              <w:left w:w="105" w:type="dxa"/>
              <w:bottom w:w="0" w:type="dxa"/>
              <w:right w:w="105" w:type="dxa"/>
            </w:tcMar>
            <w:vAlign w:val="top"/>
          </w:tcPr>
          <w:p w14:paraId="1C78DE23">
            <w:pPr>
              <w:pStyle w:val="11"/>
              <w:jc w:val="center"/>
              <w:outlineLvl w:val="9"/>
              <w:rPr>
                <w:color w:val="auto"/>
                <w:highlight w:val="none"/>
              </w:rPr>
            </w:pPr>
            <w:r>
              <w:rPr>
                <w:rFonts w:ascii="宋体" w:hAnsi="宋体" w:eastAsia="宋体" w:cs="宋体"/>
                <w:color w:val="auto"/>
                <w:sz w:val="24"/>
                <w:highlight w:val="none"/>
              </w:rPr>
              <w:t>2-2</w:t>
            </w:r>
          </w:p>
        </w:tc>
        <w:tc>
          <w:tcPr>
            <w:tcW w:w="4424" w:type="dxa"/>
            <w:tcBorders>
              <w:top w:val="nil"/>
              <w:left w:val="nil"/>
              <w:bottom w:val="double" w:color="000000" w:sz="8" w:space="0"/>
              <w:right w:val="single" w:color="000000" w:sz="4" w:space="0"/>
            </w:tcBorders>
            <w:tcMar>
              <w:top w:w="0" w:type="dxa"/>
              <w:left w:w="105" w:type="dxa"/>
              <w:bottom w:w="0" w:type="dxa"/>
              <w:right w:w="105" w:type="dxa"/>
            </w:tcMar>
            <w:vAlign w:val="top"/>
          </w:tcPr>
          <w:p w14:paraId="26F00EC8">
            <w:pPr>
              <w:pStyle w:val="11"/>
              <w:jc w:val="center"/>
              <w:outlineLvl w:val="9"/>
              <w:rPr>
                <w:color w:val="auto"/>
                <w:highlight w:val="none"/>
              </w:rPr>
            </w:pPr>
          </w:p>
        </w:tc>
        <w:tc>
          <w:tcPr>
            <w:tcW w:w="2829" w:type="dxa"/>
            <w:tcBorders>
              <w:top w:val="nil"/>
              <w:left w:val="nil"/>
              <w:bottom w:val="double" w:color="000000" w:sz="8" w:space="0"/>
              <w:right w:val="double" w:color="000000" w:sz="8" w:space="0"/>
            </w:tcBorders>
            <w:tcMar>
              <w:top w:w="0" w:type="dxa"/>
              <w:left w:w="105" w:type="dxa"/>
              <w:bottom w:w="0" w:type="dxa"/>
              <w:right w:w="105" w:type="dxa"/>
            </w:tcMar>
            <w:vAlign w:val="top"/>
          </w:tcPr>
          <w:p w14:paraId="6CE84DB2">
            <w:pPr>
              <w:outlineLvl w:val="9"/>
              <w:rPr>
                <w:color w:val="auto"/>
                <w:highlight w:val="none"/>
              </w:rPr>
            </w:pPr>
          </w:p>
        </w:tc>
      </w:tr>
    </w:tbl>
    <w:p w14:paraId="3E7A4491">
      <w:pPr>
        <w:pStyle w:val="11"/>
        <w:jc w:val="both"/>
        <w:rPr>
          <w:rFonts w:ascii="仿宋_GB2312" w:hAnsi="仿宋_GB2312" w:eastAsia="仿宋_GB2312" w:cs="仿宋_GB2312"/>
          <w:color w:val="auto"/>
          <w:sz w:val="24"/>
          <w:highlight w:val="none"/>
        </w:rPr>
      </w:pPr>
    </w:p>
    <w:p w14:paraId="1225C2DD">
      <w:pPr>
        <w:pStyle w:val="11"/>
        <w:jc w:val="both"/>
        <w:rPr>
          <w:rFonts w:hint="eastAsia" w:ascii="宋体" w:hAnsi="宋体" w:eastAsia="宋体" w:cs="宋体"/>
          <w:b/>
          <w:bCs/>
          <w:color w:val="auto"/>
          <w:sz w:val="24"/>
          <w:highlight w:val="none"/>
        </w:rPr>
      </w:pPr>
    </w:p>
    <w:p w14:paraId="0C8060A1">
      <w:pPr>
        <w:pStyle w:val="11"/>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highlight w:val="none"/>
        </w:rPr>
        <w:t>附件1：</w:t>
      </w:r>
    </w:p>
    <w:p w14:paraId="781F3278">
      <w:pPr>
        <w:pStyle w:val="11"/>
        <w:jc w:val="center"/>
        <w:rPr>
          <w:b/>
          <w:bCs/>
          <w:color w:val="auto"/>
          <w:highlight w:val="none"/>
        </w:rPr>
      </w:pPr>
      <w:r>
        <w:rPr>
          <w:rFonts w:ascii="仿宋_GB2312" w:hAnsi="仿宋_GB2312" w:eastAsia="仿宋_GB2312" w:cs="仿宋_GB2312"/>
          <w:b/>
          <w:bCs/>
          <w:color w:val="auto"/>
          <w:sz w:val="32"/>
          <w:highlight w:val="none"/>
        </w:rPr>
        <w:t>关于串标情形及后果的告知函</w:t>
      </w:r>
    </w:p>
    <w:p w14:paraId="646A822C">
      <w:pPr>
        <w:pStyle w:val="11"/>
        <w:ind w:firstLine="482"/>
        <w:jc w:val="both"/>
        <w:rPr>
          <w:color w:val="auto"/>
          <w:highlight w:val="none"/>
        </w:rPr>
      </w:pPr>
      <w:r>
        <w:rPr>
          <w:rFonts w:ascii="仿宋_GB2312" w:hAnsi="仿宋_GB2312" w:eastAsia="仿宋_GB2312" w:cs="仿宋_GB2312"/>
          <w:b/>
          <w:color w:val="auto"/>
          <w:sz w:val="24"/>
          <w:highlight w:val="none"/>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14:paraId="420900B7">
      <w:pPr>
        <w:pStyle w:val="11"/>
        <w:ind w:firstLine="482"/>
        <w:jc w:val="both"/>
        <w:rPr>
          <w:color w:val="auto"/>
          <w:highlight w:val="none"/>
        </w:rPr>
      </w:pPr>
      <w:r>
        <w:rPr>
          <w:rFonts w:ascii="仿宋_GB2312" w:hAnsi="仿宋_GB2312" w:eastAsia="仿宋_GB2312" w:cs="仿宋_GB2312"/>
          <w:b/>
          <w:color w:val="auto"/>
          <w:sz w:val="24"/>
          <w:highlight w:val="none"/>
        </w:rPr>
        <w:t>一、串标情形</w:t>
      </w:r>
    </w:p>
    <w:p w14:paraId="0CC5C35E">
      <w:pPr>
        <w:pStyle w:val="11"/>
        <w:ind w:firstLine="482"/>
        <w:jc w:val="both"/>
        <w:rPr>
          <w:color w:val="auto"/>
          <w:highlight w:val="none"/>
        </w:rPr>
      </w:pPr>
      <w:r>
        <w:rPr>
          <w:rFonts w:ascii="仿宋_GB2312" w:hAnsi="仿宋_GB2312" w:eastAsia="仿宋_GB2312" w:cs="仿宋_GB2312"/>
          <w:b/>
          <w:color w:val="auto"/>
          <w:sz w:val="24"/>
          <w:highlight w:val="none"/>
        </w:rPr>
        <w:t>1、《政府采购法》第二十五条</w:t>
      </w:r>
      <w:r>
        <w:rPr>
          <w:rFonts w:ascii="仿宋_GB2312" w:hAnsi="仿宋_GB2312" w:eastAsia="仿宋_GB2312" w:cs="仿宋_GB2312"/>
          <w:color w:val="auto"/>
          <w:sz w:val="24"/>
          <w:highlight w:val="none"/>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14:paraId="3304F614">
      <w:pPr>
        <w:pStyle w:val="11"/>
        <w:ind w:firstLine="482"/>
        <w:jc w:val="both"/>
        <w:rPr>
          <w:color w:val="auto"/>
          <w:highlight w:val="none"/>
        </w:rPr>
      </w:pPr>
      <w:r>
        <w:rPr>
          <w:rFonts w:ascii="仿宋_GB2312" w:hAnsi="仿宋_GB2312" w:eastAsia="仿宋_GB2312" w:cs="仿宋_GB2312"/>
          <w:b/>
          <w:color w:val="auto"/>
          <w:sz w:val="24"/>
          <w:highlight w:val="none"/>
        </w:rPr>
        <w:t>2、《政府采购法实施条例》第七十四条</w:t>
      </w:r>
      <w:r>
        <w:rPr>
          <w:rFonts w:ascii="仿宋_GB2312" w:hAnsi="仿宋_GB2312" w:eastAsia="仿宋_GB2312" w:cs="仿宋_GB2312"/>
          <w:color w:val="auto"/>
          <w:sz w:val="24"/>
          <w:highlight w:val="none"/>
        </w:rPr>
        <w:t>：有下列情形之一的，属于恶意串通，对供应商依照政府采购法第七十七条第一款的规定追究法律责任，对采购人、采购代理机构及其工作人员依照政府采购法第七十二条的规定追究法律责任：</w:t>
      </w:r>
    </w:p>
    <w:p w14:paraId="05DD5275">
      <w:pPr>
        <w:pStyle w:val="11"/>
        <w:ind w:firstLine="480"/>
        <w:jc w:val="both"/>
        <w:rPr>
          <w:color w:val="auto"/>
          <w:highlight w:val="none"/>
        </w:rPr>
      </w:pPr>
      <w:r>
        <w:rPr>
          <w:rFonts w:ascii="仿宋_GB2312" w:hAnsi="仿宋_GB2312" w:eastAsia="仿宋_GB2312" w:cs="仿宋_GB2312"/>
          <w:color w:val="auto"/>
          <w:sz w:val="24"/>
          <w:highlight w:val="none"/>
        </w:rPr>
        <w:t>（一）供应商直接或者间接从采购人或者采购代理机构处获得其他供应商的相关情况并修改其投标文件或者响应文件；</w:t>
      </w:r>
    </w:p>
    <w:p w14:paraId="560CD8B3">
      <w:pPr>
        <w:pStyle w:val="11"/>
        <w:ind w:firstLine="480"/>
        <w:jc w:val="both"/>
        <w:rPr>
          <w:color w:val="auto"/>
          <w:highlight w:val="none"/>
        </w:rPr>
      </w:pPr>
      <w:r>
        <w:rPr>
          <w:rFonts w:ascii="仿宋_GB2312" w:hAnsi="仿宋_GB2312" w:eastAsia="仿宋_GB2312" w:cs="仿宋_GB2312"/>
          <w:color w:val="auto"/>
          <w:sz w:val="24"/>
          <w:highlight w:val="none"/>
        </w:rPr>
        <w:t>（二）供应商按照采购人或者采购代理机构的授意撤换、修改投标文件或者响应文件；</w:t>
      </w:r>
    </w:p>
    <w:p w14:paraId="1F90D9F1">
      <w:pPr>
        <w:pStyle w:val="11"/>
        <w:ind w:firstLine="480"/>
        <w:jc w:val="both"/>
        <w:rPr>
          <w:color w:val="auto"/>
          <w:highlight w:val="none"/>
        </w:rPr>
      </w:pPr>
      <w:r>
        <w:rPr>
          <w:rFonts w:ascii="仿宋_GB2312" w:hAnsi="仿宋_GB2312" w:eastAsia="仿宋_GB2312" w:cs="仿宋_GB2312"/>
          <w:color w:val="auto"/>
          <w:sz w:val="24"/>
          <w:highlight w:val="none"/>
        </w:rPr>
        <w:t>（三）供应商之间协商报价、技术方案等投标文件或者响应文件的实质性内容；</w:t>
      </w:r>
    </w:p>
    <w:p w14:paraId="501EF3EB">
      <w:pPr>
        <w:pStyle w:val="11"/>
        <w:ind w:firstLine="480"/>
        <w:jc w:val="both"/>
        <w:rPr>
          <w:color w:val="auto"/>
          <w:highlight w:val="none"/>
        </w:rPr>
      </w:pPr>
      <w:r>
        <w:rPr>
          <w:rFonts w:ascii="仿宋_GB2312" w:hAnsi="仿宋_GB2312" w:eastAsia="仿宋_GB2312" w:cs="仿宋_GB2312"/>
          <w:color w:val="auto"/>
          <w:sz w:val="24"/>
          <w:highlight w:val="none"/>
        </w:rPr>
        <w:t>（四）属于同一集团、协会、商会等组织成员的供应商按照该组织要求协同参加政府采购活动；</w:t>
      </w:r>
    </w:p>
    <w:p w14:paraId="3F1F3346">
      <w:pPr>
        <w:pStyle w:val="11"/>
        <w:ind w:firstLine="480"/>
        <w:jc w:val="both"/>
        <w:rPr>
          <w:color w:val="auto"/>
          <w:highlight w:val="none"/>
        </w:rPr>
      </w:pPr>
      <w:r>
        <w:rPr>
          <w:rFonts w:ascii="仿宋_GB2312" w:hAnsi="仿宋_GB2312" w:eastAsia="仿宋_GB2312" w:cs="仿宋_GB2312"/>
          <w:color w:val="auto"/>
          <w:sz w:val="24"/>
          <w:highlight w:val="none"/>
        </w:rPr>
        <w:t>（五）供应商之间事先约定由某一特定供应商中标、成交；</w:t>
      </w:r>
    </w:p>
    <w:p w14:paraId="26B2F3CA">
      <w:pPr>
        <w:pStyle w:val="11"/>
        <w:ind w:firstLine="480"/>
        <w:jc w:val="both"/>
        <w:rPr>
          <w:color w:val="auto"/>
          <w:highlight w:val="none"/>
        </w:rPr>
      </w:pPr>
      <w:r>
        <w:rPr>
          <w:rFonts w:ascii="仿宋_GB2312" w:hAnsi="仿宋_GB2312" w:eastAsia="仿宋_GB2312" w:cs="仿宋_GB2312"/>
          <w:color w:val="auto"/>
          <w:sz w:val="24"/>
          <w:highlight w:val="none"/>
        </w:rPr>
        <w:t>（六）供应商之间商定部分供应商放弃参加政府采购活动或者放弃中标、成交；</w:t>
      </w:r>
    </w:p>
    <w:p w14:paraId="6224C8A5">
      <w:pPr>
        <w:pStyle w:val="11"/>
        <w:ind w:firstLine="480"/>
        <w:jc w:val="both"/>
        <w:rPr>
          <w:color w:val="auto"/>
          <w:highlight w:val="none"/>
        </w:rPr>
      </w:pPr>
      <w:r>
        <w:rPr>
          <w:rFonts w:ascii="仿宋_GB2312" w:hAnsi="仿宋_GB2312" w:eastAsia="仿宋_GB2312" w:cs="仿宋_GB2312"/>
          <w:color w:val="auto"/>
          <w:sz w:val="24"/>
          <w:highlight w:val="none"/>
        </w:rPr>
        <w:t>（七）供应商与采购人或者采购代理机构之间、供应商相互之间，为谋求特定供应商中标、成交或者排斥其他供应商的其他串通行为。</w:t>
      </w:r>
    </w:p>
    <w:p w14:paraId="0A633DB6">
      <w:pPr>
        <w:pStyle w:val="11"/>
        <w:ind w:firstLine="482"/>
        <w:jc w:val="both"/>
        <w:rPr>
          <w:color w:val="auto"/>
          <w:highlight w:val="none"/>
        </w:rPr>
      </w:pPr>
      <w:r>
        <w:rPr>
          <w:rFonts w:ascii="仿宋_GB2312" w:hAnsi="仿宋_GB2312" w:eastAsia="仿宋_GB2312" w:cs="仿宋_GB2312"/>
          <w:b/>
          <w:color w:val="auto"/>
          <w:sz w:val="24"/>
          <w:highlight w:val="none"/>
        </w:rPr>
        <w:t>3、《政府采购货物和服务招标投标管理办法》（财政部令第87号）第三十七条</w:t>
      </w:r>
      <w:r>
        <w:rPr>
          <w:rFonts w:ascii="仿宋_GB2312" w:hAnsi="仿宋_GB2312" w:eastAsia="仿宋_GB2312" w:cs="仿宋_GB2312"/>
          <w:color w:val="auto"/>
          <w:sz w:val="24"/>
          <w:highlight w:val="none"/>
        </w:rPr>
        <w:t>：有下列情形之一的，视为投标人串通投标，其投标无效：</w:t>
      </w:r>
    </w:p>
    <w:p w14:paraId="1BE18A63">
      <w:pPr>
        <w:pStyle w:val="11"/>
        <w:ind w:firstLine="480"/>
        <w:jc w:val="both"/>
        <w:rPr>
          <w:color w:val="auto"/>
          <w:highlight w:val="none"/>
        </w:rPr>
      </w:pPr>
      <w:r>
        <w:rPr>
          <w:rFonts w:ascii="仿宋_GB2312" w:hAnsi="仿宋_GB2312" w:eastAsia="仿宋_GB2312" w:cs="仿宋_GB2312"/>
          <w:color w:val="auto"/>
          <w:sz w:val="24"/>
          <w:highlight w:val="none"/>
        </w:rPr>
        <w:t>（一）不同投标人的投标文件由同一单位或者个人编制；</w:t>
      </w:r>
    </w:p>
    <w:p w14:paraId="68BCA24A">
      <w:pPr>
        <w:pStyle w:val="11"/>
        <w:ind w:firstLine="480"/>
        <w:jc w:val="both"/>
        <w:rPr>
          <w:color w:val="auto"/>
          <w:highlight w:val="none"/>
        </w:rPr>
      </w:pPr>
      <w:r>
        <w:rPr>
          <w:rFonts w:ascii="仿宋_GB2312" w:hAnsi="仿宋_GB2312" w:eastAsia="仿宋_GB2312" w:cs="仿宋_GB2312"/>
          <w:color w:val="auto"/>
          <w:sz w:val="24"/>
          <w:highlight w:val="none"/>
        </w:rPr>
        <w:t>（二）不同投标人委托同一单位或者个人办理投标事宜；</w:t>
      </w:r>
    </w:p>
    <w:p w14:paraId="6A1C6D82">
      <w:pPr>
        <w:pStyle w:val="11"/>
        <w:ind w:firstLine="480"/>
        <w:jc w:val="both"/>
        <w:rPr>
          <w:color w:val="auto"/>
          <w:highlight w:val="none"/>
        </w:rPr>
      </w:pPr>
      <w:r>
        <w:rPr>
          <w:rFonts w:ascii="仿宋_GB2312" w:hAnsi="仿宋_GB2312" w:eastAsia="仿宋_GB2312" w:cs="仿宋_GB2312"/>
          <w:color w:val="auto"/>
          <w:sz w:val="24"/>
          <w:highlight w:val="none"/>
        </w:rPr>
        <w:t>（三）不同投标人的投标文件载明的项目管理成员或者联系人员为同一人；</w:t>
      </w:r>
    </w:p>
    <w:p w14:paraId="664377B3">
      <w:pPr>
        <w:pStyle w:val="11"/>
        <w:ind w:firstLine="480"/>
        <w:jc w:val="both"/>
        <w:rPr>
          <w:color w:val="auto"/>
          <w:highlight w:val="none"/>
        </w:rPr>
      </w:pPr>
      <w:r>
        <w:rPr>
          <w:rFonts w:ascii="仿宋_GB2312" w:hAnsi="仿宋_GB2312" w:eastAsia="仿宋_GB2312" w:cs="仿宋_GB2312"/>
          <w:color w:val="auto"/>
          <w:sz w:val="24"/>
          <w:highlight w:val="none"/>
        </w:rPr>
        <w:t>（四）不同投标人的投标文件异常一致或者投标报价呈规律性差异；</w:t>
      </w:r>
    </w:p>
    <w:p w14:paraId="04FFAF49">
      <w:pPr>
        <w:pStyle w:val="11"/>
        <w:ind w:firstLine="480"/>
        <w:jc w:val="both"/>
        <w:rPr>
          <w:color w:val="auto"/>
          <w:highlight w:val="none"/>
        </w:rPr>
      </w:pPr>
      <w:r>
        <w:rPr>
          <w:rFonts w:ascii="仿宋_GB2312" w:hAnsi="仿宋_GB2312" w:eastAsia="仿宋_GB2312" w:cs="仿宋_GB2312"/>
          <w:color w:val="auto"/>
          <w:sz w:val="24"/>
          <w:highlight w:val="none"/>
        </w:rPr>
        <w:t>（五）不同投标人的投标文件相互混装；</w:t>
      </w:r>
    </w:p>
    <w:p w14:paraId="38EEB3A5">
      <w:pPr>
        <w:pStyle w:val="11"/>
        <w:ind w:firstLine="480"/>
        <w:jc w:val="both"/>
        <w:rPr>
          <w:color w:val="auto"/>
          <w:highlight w:val="none"/>
        </w:rPr>
      </w:pPr>
      <w:r>
        <w:rPr>
          <w:rFonts w:ascii="仿宋_GB2312" w:hAnsi="仿宋_GB2312" w:eastAsia="仿宋_GB2312" w:cs="仿宋_GB2312"/>
          <w:color w:val="auto"/>
          <w:sz w:val="24"/>
          <w:highlight w:val="none"/>
        </w:rPr>
        <w:t>（六）不同投标人的投标保证金从同一单位或者个人的账户转出。</w:t>
      </w:r>
    </w:p>
    <w:p w14:paraId="4B8DA7CB">
      <w:pPr>
        <w:pStyle w:val="11"/>
        <w:ind w:firstLine="482"/>
        <w:jc w:val="both"/>
        <w:rPr>
          <w:color w:val="auto"/>
          <w:highlight w:val="none"/>
        </w:rPr>
      </w:pPr>
      <w:r>
        <w:rPr>
          <w:rFonts w:ascii="仿宋_GB2312" w:hAnsi="仿宋_GB2312" w:eastAsia="仿宋_GB2312" w:cs="仿宋_GB2312"/>
          <w:b/>
          <w:color w:val="auto"/>
          <w:sz w:val="24"/>
          <w:highlight w:val="none"/>
        </w:rPr>
        <w:t>4、《福建省财政厅关于电子化政府采购项目中视为串标情形认定与处理的指导意见》（闽财购〔2018〕30号）</w:t>
      </w:r>
    </w:p>
    <w:p w14:paraId="3F8DE7B9">
      <w:pPr>
        <w:pStyle w:val="11"/>
        <w:ind w:firstLine="480"/>
        <w:jc w:val="both"/>
        <w:rPr>
          <w:color w:val="auto"/>
          <w:highlight w:val="none"/>
        </w:rPr>
      </w:pPr>
      <w:r>
        <w:rPr>
          <w:rFonts w:ascii="仿宋_GB2312" w:hAnsi="仿宋_GB2312" w:eastAsia="仿宋_GB2312" w:cs="仿宋_GB2312"/>
          <w:color w:val="auto"/>
          <w:sz w:val="24"/>
          <w:highlight w:val="none"/>
        </w:rPr>
        <w:t>一、电子化招标项目视为串通情形的认定</w:t>
      </w:r>
    </w:p>
    <w:p w14:paraId="0E45CB28">
      <w:pPr>
        <w:pStyle w:val="11"/>
        <w:ind w:firstLine="480"/>
        <w:jc w:val="both"/>
        <w:rPr>
          <w:color w:val="auto"/>
          <w:highlight w:val="none"/>
        </w:rPr>
      </w:pPr>
      <w:r>
        <w:rPr>
          <w:rFonts w:ascii="仿宋_GB2312" w:hAnsi="仿宋_GB2312" w:eastAsia="仿宋_GB2312" w:cs="仿宋_GB2312"/>
          <w:color w:val="auto"/>
          <w:sz w:val="24"/>
          <w:highlight w:val="none"/>
        </w:rPr>
        <w:t>（一）保证金验核阶段</w:t>
      </w:r>
    </w:p>
    <w:p w14:paraId="6C8104D0">
      <w:pPr>
        <w:pStyle w:val="11"/>
        <w:ind w:firstLine="480"/>
        <w:jc w:val="both"/>
        <w:rPr>
          <w:color w:val="auto"/>
          <w:highlight w:val="none"/>
        </w:rPr>
      </w:pPr>
      <w:r>
        <w:rPr>
          <w:rFonts w:ascii="仿宋_GB2312" w:hAnsi="仿宋_GB2312" w:eastAsia="仿宋_GB2312" w:cs="仿宋_GB2312"/>
          <w:color w:val="auto"/>
          <w:sz w:val="24"/>
          <w:highlight w:val="none"/>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2B8F8D2B">
      <w:pPr>
        <w:pStyle w:val="11"/>
        <w:ind w:firstLine="480"/>
        <w:jc w:val="both"/>
        <w:rPr>
          <w:color w:val="auto"/>
          <w:highlight w:val="none"/>
        </w:rPr>
      </w:pPr>
      <w:r>
        <w:rPr>
          <w:rFonts w:ascii="仿宋_GB2312" w:hAnsi="仿宋_GB2312" w:eastAsia="仿宋_GB2312" w:cs="仿宋_GB2312"/>
          <w:color w:val="auto"/>
          <w:sz w:val="24"/>
          <w:highlight w:val="none"/>
        </w:rPr>
        <w:t xml:space="preserve">（二）电子响应文件解密阶段 </w:t>
      </w:r>
    </w:p>
    <w:p w14:paraId="71A0C9BB">
      <w:pPr>
        <w:pStyle w:val="11"/>
        <w:ind w:firstLine="480"/>
        <w:jc w:val="both"/>
        <w:rPr>
          <w:color w:val="auto"/>
          <w:highlight w:val="none"/>
        </w:rPr>
      </w:pPr>
      <w:r>
        <w:rPr>
          <w:rFonts w:ascii="仿宋_GB2312" w:hAnsi="仿宋_GB2312" w:eastAsia="仿宋_GB2312" w:cs="仿宋_GB2312"/>
          <w:color w:val="auto"/>
          <w:sz w:val="24"/>
          <w:highlight w:val="none"/>
        </w:rPr>
        <w:t>电子响应文件的个性特征与本采购项目的其他响应人存在雷同的，按照以下方式进行认定：</w:t>
      </w:r>
    </w:p>
    <w:p w14:paraId="6F4C830A">
      <w:pPr>
        <w:pStyle w:val="11"/>
        <w:ind w:firstLine="480"/>
        <w:jc w:val="both"/>
        <w:rPr>
          <w:color w:val="auto"/>
          <w:highlight w:val="none"/>
        </w:rPr>
      </w:pPr>
      <w:r>
        <w:rPr>
          <w:rFonts w:ascii="仿宋_GB2312" w:hAnsi="仿宋_GB2312" w:eastAsia="仿宋_GB2312" w:cs="仿宋_GB2312"/>
          <w:color w:val="auto"/>
          <w:sz w:val="24"/>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61E48FC7">
      <w:pPr>
        <w:pStyle w:val="11"/>
        <w:ind w:firstLine="480"/>
        <w:jc w:val="both"/>
        <w:rPr>
          <w:color w:val="auto"/>
          <w:highlight w:val="none"/>
        </w:rPr>
      </w:pPr>
      <w:r>
        <w:rPr>
          <w:rFonts w:ascii="仿宋_GB2312" w:hAnsi="仿宋_GB2312" w:eastAsia="仿宋_GB2312" w:cs="仿宋_GB2312"/>
          <w:color w:val="auto"/>
          <w:sz w:val="24"/>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4C3791D5">
      <w:pPr>
        <w:pStyle w:val="11"/>
        <w:ind w:firstLine="480"/>
        <w:jc w:val="both"/>
        <w:rPr>
          <w:color w:val="auto"/>
          <w:highlight w:val="none"/>
        </w:rPr>
      </w:pPr>
      <w:r>
        <w:rPr>
          <w:rFonts w:ascii="仿宋_GB2312" w:hAnsi="仿宋_GB2312" w:eastAsia="仿宋_GB2312" w:cs="仿宋_GB2312"/>
          <w:color w:val="auto"/>
          <w:sz w:val="24"/>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6BCB2D8E">
      <w:pPr>
        <w:pStyle w:val="11"/>
        <w:ind w:firstLine="482"/>
        <w:jc w:val="both"/>
        <w:rPr>
          <w:color w:val="auto"/>
          <w:highlight w:val="none"/>
        </w:rPr>
      </w:pPr>
      <w:r>
        <w:rPr>
          <w:rFonts w:ascii="仿宋_GB2312" w:hAnsi="仿宋_GB2312" w:eastAsia="仿宋_GB2312" w:cs="仿宋_GB2312"/>
          <w:b/>
          <w:color w:val="auto"/>
          <w:sz w:val="24"/>
          <w:highlight w:val="none"/>
        </w:rPr>
        <w:t>5、《福建省财政厅关于福建省省级政府采购货物和服务项目招标文件编制指引和实施指引的补充通知（三）》（闽财购〔2010〕28号）</w:t>
      </w:r>
    </w:p>
    <w:p w14:paraId="64CFEDBD">
      <w:pPr>
        <w:pStyle w:val="11"/>
        <w:ind w:firstLine="480"/>
        <w:jc w:val="both"/>
        <w:rPr>
          <w:color w:val="auto"/>
          <w:highlight w:val="none"/>
        </w:rPr>
      </w:pPr>
      <w:r>
        <w:rPr>
          <w:rFonts w:ascii="仿宋_GB2312" w:hAnsi="仿宋_GB2312" w:eastAsia="仿宋_GB2312" w:cs="仿宋_GB2312"/>
          <w:color w:val="auto"/>
          <w:sz w:val="24"/>
          <w:highlight w:val="none"/>
        </w:rPr>
        <w:t>评标委员会在评标过程中发现投标人存在下列情形之一的，可认定其有串通投标行为，并做出其投标无效的决定：</w:t>
      </w:r>
    </w:p>
    <w:p w14:paraId="7C0E09EF">
      <w:pPr>
        <w:pStyle w:val="11"/>
        <w:ind w:firstLine="480"/>
        <w:jc w:val="both"/>
        <w:rPr>
          <w:color w:val="auto"/>
          <w:highlight w:val="none"/>
        </w:rPr>
      </w:pPr>
      <w:r>
        <w:rPr>
          <w:rFonts w:ascii="仿宋_GB2312" w:hAnsi="仿宋_GB2312" w:eastAsia="仿宋_GB2312" w:cs="仿宋_GB2312"/>
          <w:color w:val="auto"/>
          <w:sz w:val="24"/>
          <w:highlight w:val="none"/>
        </w:rPr>
        <w:t>（一）不同投标人的投标文件错、漏之处一致或雷同，且不能合理解释的；</w:t>
      </w:r>
    </w:p>
    <w:p w14:paraId="25CF2E44">
      <w:pPr>
        <w:pStyle w:val="11"/>
        <w:ind w:firstLine="480"/>
        <w:jc w:val="both"/>
        <w:rPr>
          <w:color w:val="auto"/>
          <w:highlight w:val="none"/>
        </w:rPr>
      </w:pPr>
      <w:r>
        <w:rPr>
          <w:rFonts w:ascii="仿宋_GB2312" w:hAnsi="仿宋_GB2312" w:eastAsia="仿宋_GB2312" w:cs="仿宋_GB2312"/>
          <w:color w:val="auto"/>
          <w:sz w:val="24"/>
          <w:highlight w:val="none"/>
        </w:rPr>
        <w:t>（二）不同的投标人的法定代表人、委托代理人等由同一个单位缴纳社会保险的；</w:t>
      </w:r>
    </w:p>
    <w:p w14:paraId="3B1FAC67">
      <w:pPr>
        <w:pStyle w:val="11"/>
        <w:ind w:firstLine="480"/>
        <w:jc w:val="both"/>
        <w:rPr>
          <w:color w:val="auto"/>
          <w:highlight w:val="none"/>
        </w:rPr>
      </w:pPr>
      <w:r>
        <w:rPr>
          <w:rFonts w:ascii="仿宋_GB2312" w:hAnsi="仿宋_GB2312" w:eastAsia="仿宋_GB2312" w:cs="仿宋_GB2312"/>
          <w:color w:val="auto"/>
          <w:sz w:val="24"/>
          <w:highlight w:val="none"/>
        </w:rPr>
        <w:t>（三）由同一人或分别由几个有利害关系人携带两个以上（含两个）投标人的企业资料参与资格审查、领取招标资料，或代表两个以上（含两个）投标人参加招标答疑会、交纳或退还投标保证金、开标的；</w:t>
      </w:r>
    </w:p>
    <w:p w14:paraId="45F4EABA">
      <w:pPr>
        <w:pStyle w:val="11"/>
        <w:ind w:firstLine="480"/>
        <w:jc w:val="both"/>
        <w:rPr>
          <w:color w:val="auto"/>
          <w:highlight w:val="none"/>
        </w:rPr>
      </w:pPr>
      <w:r>
        <w:rPr>
          <w:rFonts w:ascii="仿宋_GB2312" w:hAnsi="仿宋_GB2312" w:eastAsia="仿宋_GB2312" w:cs="仿宋_GB2312"/>
          <w:color w:val="auto"/>
          <w:sz w:val="24"/>
          <w:highlight w:val="none"/>
        </w:rPr>
        <w:t>（四）有关法律、法规或规章规定的其他串通投标行为。</w:t>
      </w:r>
    </w:p>
    <w:p w14:paraId="40299448">
      <w:pPr>
        <w:pStyle w:val="11"/>
        <w:ind w:firstLine="482"/>
        <w:jc w:val="both"/>
        <w:rPr>
          <w:color w:val="auto"/>
          <w:highlight w:val="none"/>
        </w:rPr>
      </w:pPr>
      <w:r>
        <w:rPr>
          <w:rFonts w:ascii="仿宋_GB2312" w:hAnsi="仿宋_GB2312" w:eastAsia="仿宋_GB2312" w:cs="仿宋_GB2312"/>
          <w:b/>
          <w:color w:val="auto"/>
          <w:sz w:val="24"/>
          <w:highlight w:val="none"/>
        </w:rPr>
        <w:t>二、后果</w:t>
      </w:r>
    </w:p>
    <w:p w14:paraId="3E7970F4">
      <w:pPr>
        <w:pStyle w:val="11"/>
        <w:ind w:firstLine="482"/>
        <w:jc w:val="both"/>
        <w:rPr>
          <w:color w:val="auto"/>
          <w:highlight w:val="none"/>
        </w:rPr>
      </w:pPr>
      <w:r>
        <w:rPr>
          <w:rFonts w:ascii="仿宋_GB2312" w:hAnsi="仿宋_GB2312" w:eastAsia="仿宋_GB2312" w:cs="仿宋_GB2312"/>
          <w:b/>
          <w:color w:val="auto"/>
          <w:sz w:val="24"/>
          <w:highlight w:val="none"/>
        </w:rPr>
        <w:t>1、《政府采购法》第七十七条</w:t>
      </w:r>
      <w:r>
        <w:rPr>
          <w:rFonts w:ascii="仿宋_GB2312" w:hAnsi="仿宋_GB2312" w:eastAsia="仿宋_GB2312" w:cs="仿宋_GB2312"/>
          <w:color w:val="auto"/>
          <w:sz w:val="24"/>
          <w:highlight w:val="none"/>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8AE8AE9">
      <w:pPr>
        <w:pStyle w:val="11"/>
        <w:ind w:firstLine="480"/>
        <w:jc w:val="both"/>
        <w:rPr>
          <w:color w:val="auto"/>
          <w:highlight w:val="none"/>
        </w:rPr>
      </w:pPr>
      <w:r>
        <w:rPr>
          <w:rFonts w:ascii="仿宋_GB2312" w:hAnsi="仿宋_GB2312" w:eastAsia="仿宋_GB2312" w:cs="仿宋_GB2312"/>
          <w:color w:val="auto"/>
          <w:sz w:val="24"/>
          <w:highlight w:val="none"/>
        </w:rPr>
        <w:t>（三）与采购人、其他供应商或者采购代理机构恶意串通的；</w:t>
      </w:r>
    </w:p>
    <w:p w14:paraId="5E72CE49">
      <w:pPr>
        <w:pStyle w:val="11"/>
        <w:ind w:firstLine="480"/>
        <w:jc w:val="both"/>
        <w:rPr>
          <w:color w:val="auto"/>
          <w:highlight w:val="none"/>
        </w:rPr>
      </w:pPr>
      <w:r>
        <w:rPr>
          <w:rFonts w:ascii="仿宋_GB2312" w:hAnsi="仿宋_GB2312" w:eastAsia="仿宋_GB2312" w:cs="仿宋_GB2312"/>
          <w:color w:val="auto"/>
          <w:sz w:val="24"/>
          <w:highlight w:val="none"/>
        </w:rPr>
        <w:t>供应商有前款第（一）至（五）项情形之一的，中标、成交无效。</w:t>
      </w:r>
    </w:p>
    <w:p w14:paraId="739C720E">
      <w:pPr>
        <w:pStyle w:val="11"/>
        <w:ind w:firstLine="482"/>
        <w:jc w:val="both"/>
        <w:rPr>
          <w:color w:val="auto"/>
          <w:highlight w:val="none"/>
        </w:rPr>
      </w:pPr>
      <w:r>
        <w:rPr>
          <w:rFonts w:ascii="仿宋_GB2312" w:hAnsi="仿宋_GB2312" w:eastAsia="仿宋_GB2312" w:cs="仿宋_GB2312"/>
          <w:b/>
          <w:color w:val="auto"/>
          <w:sz w:val="24"/>
          <w:highlight w:val="none"/>
        </w:rPr>
        <w:t>2、《福建省财政厅关于电子化政府采购项目中视为串标情形认定与处理的指导意见》（闽财购〔2018〕30号）</w:t>
      </w:r>
    </w:p>
    <w:p w14:paraId="5917808B">
      <w:pPr>
        <w:pStyle w:val="11"/>
        <w:ind w:firstLine="480"/>
        <w:jc w:val="both"/>
        <w:rPr>
          <w:color w:val="auto"/>
          <w:highlight w:val="none"/>
        </w:rPr>
      </w:pPr>
      <w:r>
        <w:rPr>
          <w:rFonts w:ascii="仿宋_GB2312" w:hAnsi="仿宋_GB2312" w:eastAsia="仿宋_GB2312" w:cs="仿宋_GB2312"/>
          <w:color w:val="auto"/>
          <w:sz w:val="24"/>
          <w:highlight w:val="none"/>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14:paraId="0DB7DCA2">
      <w:pPr>
        <w:pStyle w:val="11"/>
        <w:ind w:firstLine="482"/>
        <w:jc w:val="both"/>
        <w:rPr>
          <w:color w:val="auto"/>
          <w:highlight w:val="none"/>
        </w:rPr>
      </w:pPr>
      <w:r>
        <w:rPr>
          <w:rFonts w:ascii="仿宋_GB2312" w:hAnsi="仿宋_GB2312" w:eastAsia="仿宋_GB2312" w:cs="仿宋_GB2312"/>
          <w:b/>
          <w:color w:val="auto"/>
          <w:sz w:val="24"/>
          <w:highlight w:val="none"/>
        </w:rPr>
        <w:t>三、虚假应标风险提示</w:t>
      </w:r>
    </w:p>
    <w:p w14:paraId="63C46864">
      <w:pPr>
        <w:pStyle w:val="11"/>
        <w:ind w:firstLine="480" w:firstLineChars="200"/>
        <w:rPr>
          <w:rFonts w:hint="eastAsia" w:ascii="宋体" w:hAnsi="宋体" w:eastAsia="宋体" w:cs="宋体"/>
          <w:color w:val="auto"/>
          <w:sz w:val="24"/>
          <w:szCs w:val="24"/>
          <w:highlight w:val="none"/>
        </w:rPr>
      </w:pPr>
      <w:r>
        <w:rPr>
          <w:rFonts w:ascii="仿宋_GB2312" w:hAnsi="仿宋_GB2312" w:eastAsia="仿宋_GB2312" w:cs="仿宋_GB2312"/>
          <w:color w:val="auto"/>
          <w:sz w:val="24"/>
          <w:highlight w:val="none"/>
        </w:rPr>
        <w:t>政府采购法第七十七条规定：“供 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对“提供虚假材料谋取中标的违法行为”的执法力度。相关行政处罚案件，供 应商可登陆中国政府采购网的“政府采购严重违法失信行为记录名单”查询，望引以为戒。</w:t>
      </w:r>
    </w:p>
    <w:p w14:paraId="5D36B05F">
      <w:pPr>
        <w:pStyle w:val="11"/>
        <w:ind w:firstLine="482" w:firstLineChars="2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附件2：</w:t>
      </w:r>
    </w:p>
    <w:p w14:paraId="5182ED2E">
      <w:pPr>
        <w:pStyle w:val="11"/>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招标文件远程开标事项</w:t>
      </w:r>
    </w:p>
    <w:p w14:paraId="7BD21F19">
      <w:pPr>
        <w:pStyle w:val="1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6B392591">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一、本项目采用“远程开标”，投标人可到开标现场，也可不到开标现场，由投标人自行决定。</w:t>
      </w:r>
    </w:p>
    <w:p w14:paraId="1A740811">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投标人不到开标现场的，请在福建省政府采购网厦门分网“服务专区/下载专区/资料下载”中，下载《远程开标操作手册》，在开标时自行登录采购系统，线上观看开标过程，并按要求在开标时段对投标文件进行远程解密、远程签章。</w:t>
      </w:r>
    </w:p>
    <w:p w14:paraId="28D19BC8">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三、投标人应确保自身设施、设备、网络状况良好，提请了解熟悉远程开标流程，因投标人自身原因造成无法正常观看开标过程、远程解密或签章的，后果由投标人自行承担。</w:t>
      </w:r>
    </w:p>
    <w:p w14:paraId="1F050CD9">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四、在规定的时间内正确提交电子投标文件的投标人在开标时将由系统判断签到情况，具体信息以福建省政府采购网上公开信息系统所示为准。</w:t>
      </w:r>
    </w:p>
    <w:p w14:paraId="15A8295E">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五、投标人应在远程解密开启后在规定时间内使用CA数字证书（应与投标文件加密时所用CA证书一致）进行投标文件的解密操作，逾期未解密的视为放弃投标。</w:t>
      </w:r>
    </w:p>
    <w:p w14:paraId="0B6E8237">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六、唱标结束后，投标人可对开标结果进行签章，并在远程签章开放后规定时间内完成，逾期未签章的视同认可开标结果。</w:t>
      </w:r>
    </w:p>
    <w:p w14:paraId="445B2120">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七、开、评标期间，投标人代表应保证采购系统中预留的联系方式畅通，以便随时接收并答复评标委员会发起的澄清等事项。</w:t>
      </w:r>
    </w:p>
    <w:p w14:paraId="56867820">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八、在操作过程中如有疑问请咨询技术人员（400-1612-666、0592-2858142）或采购代 理机构工作人员。</w:t>
      </w:r>
    </w:p>
    <w:p w14:paraId="01904392">
      <w:pPr>
        <w:pStyle w:val="11"/>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四、其他事项</w:t>
      </w:r>
    </w:p>
    <w:p w14:paraId="467BFEB5">
      <w:pPr>
        <w:pStyle w:val="1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14:paraId="2DB28F5F">
      <w:pPr>
        <w:pStyle w:val="1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14:paraId="118451DE">
      <w:pPr>
        <w:pStyle w:val="1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本项目支持供应商办理政府采购合同融资（即政采贷），具体相关政策详见《关于促进中小企业政府采购合同融资健康开展的通知》（闽财购函〔2019〕16 号）等政策，供应商中标后如需融资，可通过“福建省政府采购合同融资信息服务平台”（网址：http://120.35.30.176/zcdproject/home）办理“政采贷”。</w:t>
      </w:r>
    </w:p>
    <w:p w14:paraId="607D1BD6">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209F1C3A">
      <w:pPr>
        <w:pStyle w:val="11"/>
        <w:jc w:val="center"/>
        <w:outlineLvl w:val="1"/>
        <w:rPr>
          <w:color w:val="auto"/>
          <w:sz w:val="24"/>
          <w:szCs w:val="24"/>
          <w:highlight w:val="none"/>
        </w:rPr>
      </w:pPr>
      <w:r>
        <w:rPr>
          <w:rFonts w:ascii="仿宋_GB2312" w:hAnsi="仿宋_GB2312" w:eastAsia="仿宋_GB2312" w:cs="仿宋_GB2312"/>
          <w:b/>
          <w:color w:val="auto"/>
          <w:sz w:val="24"/>
          <w:szCs w:val="24"/>
          <w:highlight w:val="none"/>
        </w:rPr>
        <w:t>第六章 政府采购合同</w:t>
      </w:r>
    </w:p>
    <w:p w14:paraId="1AB14AE2">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参考文本</w:t>
      </w:r>
    </w:p>
    <w:p w14:paraId="24D3E080">
      <w:pPr>
        <w:pStyle w:val="11"/>
        <w:jc w:val="left"/>
        <w:rPr>
          <w:color w:val="auto"/>
          <w:sz w:val="24"/>
          <w:szCs w:val="24"/>
          <w:highlight w:val="none"/>
        </w:rPr>
      </w:pPr>
      <w:r>
        <w:rPr>
          <w:rFonts w:ascii="仿宋_GB2312" w:hAnsi="仿宋_GB2312" w:eastAsia="仿宋_GB2312" w:cs="仿宋_GB2312"/>
          <w:color w:val="auto"/>
          <w:sz w:val="24"/>
          <w:szCs w:val="24"/>
          <w:highlight w:val="none"/>
        </w:rPr>
        <w:t>合同编号：</w:t>
      </w:r>
    </w:p>
    <w:p w14:paraId="76531EDC">
      <w:pPr>
        <w:pStyle w:val="11"/>
        <w:jc w:val="center"/>
        <w:outlineLvl w:val="1"/>
        <w:rPr>
          <w:color w:val="auto"/>
          <w:sz w:val="24"/>
          <w:szCs w:val="24"/>
          <w:highlight w:val="none"/>
        </w:rPr>
      </w:pPr>
      <w:r>
        <w:rPr>
          <w:rFonts w:ascii="仿宋_GB2312" w:hAnsi="仿宋_GB2312" w:eastAsia="仿宋_GB2312" w:cs="仿宋_GB2312"/>
          <w:b/>
          <w:color w:val="auto"/>
          <w:sz w:val="24"/>
          <w:szCs w:val="24"/>
          <w:highlight w:val="none"/>
        </w:rPr>
        <w:t xml:space="preserve"> 福建省政府采购合同（服务类）</w:t>
      </w:r>
    </w:p>
    <w:p w14:paraId="5FEABE18">
      <w:pPr>
        <w:pStyle w:val="11"/>
        <w:jc w:val="center"/>
        <w:outlineLvl w:val="3"/>
        <w:rPr>
          <w:color w:val="auto"/>
          <w:sz w:val="24"/>
          <w:szCs w:val="24"/>
          <w:highlight w:val="none"/>
        </w:rPr>
      </w:pPr>
      <w:r>
        <w:rPr>
          <w:rFonts w:ascii="仿宋_GB2312" w:hAnsi="仿宋_GB2312" w:eastAsia="仿宋_GB2312" w:cs="仿宋_GB2312"/>
          <w:b/>
          <w:color w:val="auto"/>
          <w:sz w:val="24"/>
          <w:szCs w:val="24"/>
          <w:highlight w:val="none"/>
        </w:rPr>
        <w:t>编制说明</w:t>
      </w:r>
      <w:r>
        <w:rPr>
          <w:color w:val="auto"/>
          <w:sz w:val="24"/>
          <w:szCs w:val="24"/>
          <w:highlight w:val="none"/>
        </w:rPr>
        <w:br w:type="textWrapping"/>
      </w:r>
    </w:p>
    <w:p w14:paraId="66811F4F">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1.签订合同应遵守《中华人民共和国政府采购法》及其实施条例、《中华人民共和国民法典》等法律法规及其他有关规定。</w:t>
      </w:r>
    </w:p>
    <w:p w14:paraId="7D6D07F5">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0D35262F">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3.政府有关主管部门对若干合同有规范文本的，可使用相应合同文本。</w:t>
      </w:r>
    </w:p>
    <w:p w14:paraId="685270A6">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4.本合同范本仅供参考，采购人应当根据采购项目的实际需求对合同条款进行修改、补充。</w:t>
      </w:r>
    </w:p>
    <w:p w14:paraId="31C246D9">
      <w:pPr>
        <w:pStyle w:val="11"/>
        <w:ind w:left="0"/>
        <w:jc w:val="left"/>
        <w:rPr>
          <w:color w:val="auto"/>
          <w:sz w:val="24"/>
          <w:szCs w:val="24"/>
          <w:highlight w:val="none"/>
        </w:rPr>
      </w:pPr>
      <w:r>
        <w:rPr>
          <w:rFonts w:ascii="仿宋_GB2312" w:hAnsi="仿宋_GB2312" w:eastAsia="仿宋_GB2312" w:cs="仿宋_GB2312"/>
          <w:color w:val="auto"/>
          <w:sz w:val="24"/>
          <w:szCs w:val="24"/>
          <w:highlight w:val="none"/>
        </w:rPr>
        <w:t>甲方：</w:t>
      </w:r>
    </w:p>
    <w:p w14:paraId="4239ECA5">
      <w:pPr>
        <w:pStyle w:val="11"/>
        <w:jc w:val="left"/>
        <w:rPr>
          <w:color w:val="auto"/>
          <w:sz w:val="24"/>
          <w:szCs w:val="24"/>
          <w:highlight w:val="none"/>
        </w:rPr>
      </w:pPr>
      <w:r>
        <w:rPr>
          <w:rFonts w:ascii="仿宋_GB2312" w:hAnsi="仿宋_GB2312" w:eastAsia="仿宋_GB2312" w:cs="仿宋_GB2312"/>
          <w:color w:val="auto"/>
          <w:sz w:val="24"/>
          <w:szCs w:val="24"/>
          <w:highlight w:val="none"/>
        </w:rPr>
        <w:t>住所地：________________</w:t>
      </w:r>
    </w:p>
    <w:p w14:paraId="33EC0C4D">
      <w:pPr>
        <w:pStyle w:val="11"/>
        <w:jc w:val="left"/>
        <w:rPr>
          <w:color w:val="auto"/>
          <w:sz w:val="24"/>
          <w:szCs w:val="24"/>
          <w:highlight w:val="none"/>
        </w:rPr>
      </w:pPr>
      <w:r>
        <w:rPr>
          <w:rFonts w:ascii="仿宋_GB2312" w:hAnsi="仿宋_GB2312" w:eastAsia="仿宋_GB2312" w:cs="仿宋_GB2312"/>
          <w:color w:val="auto"/>
          <w:sz w:val="24"/>
          <w:szCs w:val="24"/>
          <w:highlight w:val="none"/>
        </w:rPr>
        <w:t>联系人：________________</w:t>
      </w:r>
    </w:p>
    <w:p w14:paraId="79C0191D">
      <w:pPr>
        <w:pStyle w:val="11"/>
        <w:jc w:val="left"/>
        <w:rPr>
          <w:color w:val="auto"/>
          <w:sz w:val="24"/>
          <w:szCs w:val="24"/>
          <w:highlight w:val="none"/>
        </w:rPr>
      </w:pPr>
      <w:r>
        <w:rPr>
          <w:rFonts w:ascii="仿宋_GB2312" w:hAnsi="仿宋_GB2312" w:eastAsia="仿宋_GB2312" w:cs="仿宋_GB2312"/>
          <w:color w:val="auto"/>
          <w:sz w:val="24"/>
          <w:szCs w:val="24"/>
          <w:highlight w:val="none"/>
        </w:rPr>
        <w:t>联系电话：______________</w:t>
      </w:r>
    </w:p>
    <w:p w14:paraId="476B54F2">
      <w:pPr>
        <w:pStyle w:val="11"/>
        <w:jc w:val="left"/>
        <w:rPr>
          <w:color w:val="auto"/>
          <w:sz w:val="24"/>
          <w:szCs w:val="24"/>
          <w:highlight w:val="none"/>
        </w:rPr>
      </w:pPr>
      <w:r>
        <w:rPr>
          <w:rFonts w:ascii="仿宋_GB2312" w:hAnsi="仿宋_GB2312" w:eastAsia="仿宋_GB2312" w:cs="仿宋_GB2312"/>
          <w:color w:val="auto"/>
          <w:sz w:val="24"/>
          <w:szCs w:val="24"/>
          <w:highlight w:val="none"/>
        </w:rPr>
        <w:t>传真：________________</w:t>
      </w:r>
    </w:p>
    <w:p w14:paraId="749C5CEC">
      <w:pPr>
        <w:pStyle w:val="11"/>
        <w:jc w:val="left"/>
        <w:rPr>
          <w:color w:val="auto"/>
          <w:sz w:val="24"/>
          <w:szCs w:val="24"/>
          <w:highlight w:val="none"/>
        </w:rPr>
      </w:pPr>
      <w:r>
        <w:rPr>
          <w:rFonts w:ascii="仿宋_GB2312" w:hAnsi="仿宋_GB2312" w:eastAsia="仿宋_GB2312" w:cs="仿宋_GB2312"/>
          <w:color w:val="auto"/>
          <w:sz w:val="24"/>
          <w:szCs w:val="24"/>
          <w:highlight w:val="none"/>
        </w:rPr>
        <w:t>电子邮箱：________________</w:t>
      </w:r>
      <w:r>
        <w:rPr>
          <w:color w:val="auto"/>
          <w:sz w:val="24"/>
          <w:szCs w:val="24"/>
          <w:highlight w:val="none"/>
        </w:rPr>
        <w:br w:type="textWrapping"/>
      </w:r>
    </w:p>
    <w:p w14:paraId="02DD6FCF">
      <w:pPr>
        <w:pStyle w:val="11"/>
        <w:ind w:left="0"/>
        <w:jc w:val="left"/>
        <w:rPr>
          <w:color w:val="auto"/>
          <w:sz w:val="24"/>
          <w:szCs w:val="24"/>
          <w:highlight w:val="none"/>
        </w:rPr>
      </w:pPr>
      <w:r>
        <w:rPr>
          <w:rFonts w:ascii="仿宋_GB2312" w:hAnsi="仿宋_GB2312" w:eastAsia="仿宋_GB2312" w:cs="仿宋_GB2312"/>
          <w:color w:val="auto"/>
          <w:sz w:val="24"/>
          <w:szCs w:val="24"/>
          <w:highlight w:val="none"/>
        </w:rPr>
        <w:t xml:space="preserve"> 乙方： ________________</w:t>
      </w:r>
    </w:p>
    <w:p w14:paraId="2ECDB658">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住所地： ________________</w:t>
      </w:r>
    </w:p>
    <w:p w14:paraId="4BEFB707">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联系人：______________</w:t>
      </w:r>
    </w:p>
    <w:p w14:paraId="6FAF2F1D">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联系电话：______________</w:t>
      </w:r>
    </w:p>
    <w:p w14:paraId="18845AF1">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传真：________________</w:t>
      </w:r>
    </w:p>
    <w:p w14:paraId="60F6A833">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电子邮箱：________________</w:t>
      </w:r>
    </w:p>
    <w:p w14:paraId="24ED4023">
      <w:pPr>
        <w:pStyle w:val="11"/>
        <w:jc w:val="left"/>
        <w:rPr>
          <w:color w:val="auto"/>
          <w:sz w:val="24"/>
          <w:szCs w:val="24"/>
          <w:highlight w:val="none"/>
        </w:rPr>
      </w:pPr>
      <w:r>
        <w:rPr>
          <w:rFonts w:ascii="仿宋_GB2312" w:hAnsi="仿宋_GB2312" w:eastAsia="仿宋_GB2312" w:cs="仿宋_GB2312"/>
          <w:color w:val="auto"/>
          <w:sz w:val="24"/>
          <w:szCs w:val="24"/>
          <w:highlight w:val="none"/>
        </w:rPr>
        <w:t>根据项目编号为___________ 的 __________项目（以下简称：“本项目”）的采购结果，遵循平等、自愿、公平和诚实信用的原则，双方签署本合同，具体内容如下：</w:t>
      </w:r>
    </w:p>
    <w:p w14:paraId="54216661">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一、合同组成部分</w:t>
      </w:r>
    </w:p>
    <w:p w14:paraId="611104BA">
      <w:pPr>
        <w:pStyle w:val="11"/>
        <w:jc w:val="left"/>
        <w:rPr>
          <w:color w:val="auto"/>
          <w:sz w:val="24"/>
          <w:szCs w:val="24"/>
          <w:highlight w:val="none"/>
        </w:rPr>
      </w:pPr>
      <w:r>
        <w:rPr>
          <w:rFonts w:ascii="仿宋_GB2312" w:hAnsi="仿宋_GB2312" w:eastAsia="仿宋_GB2312" w:cs="仿宋_GB2312"/>
          <w:color w:val="auto"/>
          <w:sz w:val="24"/>
          <w:szCs w:val="24"/>
          <w:highlight w:val="none"/>
        </w:rPr>
        <w:t>1.1本合同条款及附件；</w:t>
      </w:r>
    </w:p>
    <w:p w14:paraId="2EF2302E">
      <w:pPr>
        <w:pStyle w:val="11"/>
        <w:jc w:val="left"/>
        <w:rPr>
          <w:color w:val="auto"/>
          <w:sz w:val="24"/>
          <w:szCs w:val="24"/>
          <w:highlight w:val="none"/>
        </w:rPr>
      </w:pPr>
      <w:r>
        <w:rPr>
          <w:rFonts w:ascii="仿宋_GB2312" w:hAnsi="仿宋_GB2312" w:eastAsia="仿宋_GB2312" w:cs="仿宋_GB2312"/>
          <w:color w:val="auto"/>
          <w:sz w:val="24"/>
          <w:szCs w:val="24"/>
          <w:highlight w:val="none"/>
        </w:rPr>
        <w:t>1.2采购文件及其附件、补充文件；</w:t>
      </w:r>
    </w:p>
    <w:p w14:paraId="5ED13D5D">
      <w:pPr>
        <w:pStyle w:val="11"/>
        <w:jc w:val="left"/>
        <w:rPr>
          <w:color w:val="auto"/>
          <w:sz w:val="24"/>
          <w:szCs w:val="24"/>
          <w:highlight w:val="none"/>
        </w:rPr>
      </w:pPr>
      <w:r>
        <w:rPr>
          <w:rFonts w:ascii="仿宋_GB2312" w:hAnsi="仿宋_GB2312" w:eastAsia="仿宋_GB2312" w:cs="仿宋_GB2312"/>
          <w:color w:val="auto"/>
          <w:sz w:val="24"/>
          <w:szCs w:val="24"/>
          <w:highlight w:val="none"/>
        </w:rPr>
        <w:t>1.3乙方的响应文件及其附件、补充文件；</w:t>
      </w:r>
    </w:p>
    <w:p w14:paraId="06545BD0">
      <w:pPr>
        <w:pStyle w:val="11"/>
        <w:jc w:val="left"/>
        <w:rPr>
          <w:color w:val="auto"/>
          <w:sz w:val="24"/>
          <w:szCs w:val="24"/>
          <w:highlight w:val="none"/>
        </w:rPr>
      </w:pPr>
      <w:r>
        <w:rPr>
          <w:rFonts w:ascii="仿宋_GB2312" w:hAnsi="仿宋_GB2312" w:eastAsia="仿宋_GB2312" w:cs="仿宋_GB2312"/>
          <w:color w:val="auto"/>
          <w:sz w:val="24"/>
          <w:szCs w:val="24"/>
          <w:highlight w:val="none"/>
        </w:rPr>
        <w:t>1.4其他文件或材料：</w:t>
      </w:r>
    </w:p>
    <w:p w14:paraId="1467C03F">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二、合同标的</w:t>
      </w:r>
      <w:r>
        <w:rPr>
          <w:color w:val="auto"/>
          <w:sz w:val="24"/>
          <w:szCs w:val="24"/>
          <w:highlight w:val="none"/>
        </w:rPr>
        <w:br w:type="textWrapping"/>
      </w:r>
    </w:p>
    <w:p w14:paraId="1999B4EF">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三、价格形式及合同价款</w:t>
      </w:r>
    </w:p>
    <w:p w14:paraId="5CB1AECC">
      <w:pPr>
        <w:pStyle w:val="11"/>
        <w:jc w:val="left"/>
        <w:outlineLvl w:val="4"/>
        <w:rPr>
          <w:color w:val="auto"/>
          <w:sz w:val="24"/>
          <w:szCs w:val="24"/>
          <w:highlight w:val="none"/>
        </w:rPr>
      </w:pPr>
      <w:r>
        <w:rPr>
          <w:rFonts w:ascii="仿宋_GB2312" w:hAnsi="仿宋_GB2312" w:eastAsia="仿宋_GB2312" w:cs="仿宋_GB2312"/>
          <w:b/>
          <w:color w:val="auto"/>
          <w:sz w:val="24"/>
          <w:szCs w:val="24"/>
          <w:highlight w:val="none"/>
        </w:rPr>
        <w:t xml:space="preserve"> 3.1价格形式</w:t>
      </w:r>
    </w:p>
    <w:p w14:paraId="462663FA">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固定单价合同。完成约定服务事项的含税合同单价为：人民币（大写）元（￥ _____________元）。</w:t>
      </w:r>
    </w:p>
    <w:p w14:paraId="36780C01">
      <w:pPr>
        <w:pStyle w:val="11"/>
        <w:spacing w:line="300" w:lineRule="auto"/>
        <w:jc w:val="left"/>
        <w:rPr>
          <w:color w:val="auto"/>
          <w:sz w:val="24"/>
          <w:szCs w:val="24"/>
          <w:highlight w:val="none"/>
        </w:rPr>
      </w:pPr>
      <w:r>
        <w:rPr>
          <w:rFonts w:ascii="仿宋_GB2312" w:hAnsi="仿宋_GB2312" w:eastAsia="仿宋_GB2312" w:cs="仿宋_GB2312"/>
          <w:color w:val="auto"/>
          <w:sz w:val="24"/>
          <w:szCs w:val="24"/>
          <w:highlight w:val="none"/>
        </w:rPr>
        <w:t xml:space="preserve"> 固定总价合同。完成约定服务事项的含税服务费用为：人民币（大写）元（￥_____________ 元）。</w:t>
      </w:r>
    </w:p>
    <w:p w14:paraId="371AD8DE">
      <w:pPr>
        <w:pStyle w:val="11"/>
        <w:spacing w:line="300" w:lineRule="auto"/>
        <w:jc w:val="left"/>
        <w:rPr>
          <w:color w:val="auto"/>
          <w:sz w:val="24"/>
          <w:szCs w:val="24"/>
          <w:highlight w:val="none"/>
        </w:rPr>
      </w:pPr>
      <w:r>
        <w:rPr>
          <w:rFonts w:ascii="仿宋_GB2312" w:hAnsi="仿宋_GB2312" w:eastAsia="仿宋_GB2312" w:cs="仿宋_GB2312"/>
          <w:color w:val="auto"/>
          <w:sz w:val="24"/>
          <w:szCs w:val="24"/>
          <w:highlight w:val="none"/>
        </w:rPr>
        <w:t xml:space="preserve"> 其他方式。</w:t>
      </w:r>
    </w:p>
    <w:p w14:paraId="2129A8F2">
      <w:pPr>
        <w:pStyle w:val="11"/>
        <w:spacing w:line="300" w:lineRule="auto"/>
        <w:jc w:val="left"/>
        <w:outlineLvl w:val="4"/>
        <w:rPr>
          <w:color w:val="auto"/>
          <w:sz w:val="24"/>
          <w:szCs w:val="24"/>
          <w:highlight w:val="none"/>
        </w:rPr>
      </w:pPr>
      <w:r>
        <w:rPr>
          <w:rFonts w:ascii="仿宋_GB2312" w:hAnsi="仿宋_GB2312" w:eastAsia="仿宋_GB2312" w:cs="仿宋_GB2312"/>
          <w:b/>
          <w:color w:val="auto"/>
          <w:sz w:val="24"/>
          <w:szCs w:val="24"/>
          <w:highlight w:val="none"/>
        </w:rPr>
        <w:t xml:space="preserve"> 3.2合同价款包含范围</w:t>
      </w:r>
    </w:p>
    <w:p w14:paraId="4278F1E9">
      <w:pPr>
        <w:pStyle w:val="11"/>
        <w:jc w:val="left"/>
        <w:outlineLvl w:val="4"/>
        <w:rPr>
          <w:color w:val="auto"/>
          <w:sz w:val="24"/>
          <w:szCs w:val="24"/>
          <w:highlight w:val="none"/>
        </w:rPr>
      </w:pPr>
      <w:r>
        <w:rPr>
          <w:rFonts w:ascii="仿宋_GB2312" w:hAnsi="仿宋_GB2312" w:eastAsia="仿宋_GB2312" w:cs="仿宋_GB2312"/>
          <w:b/>
          <w:color w:val="auto"/>
          <w:sz w:val="24"/>
          <w:szCs w:val="24"/>
          <w:highlight w:val="none"/>
        </w:rPr>
        <w:t xml:space="preserve"> 3.3其他需说明的事项：</w:t>
      </w:r>
    </w:p>
    <w:p w14:paraId="0BB5F556">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四、合同标的及服务范围、地点和时间</w:t>
      </w:r>
    </w:p>
    <w:p w14:paraId="63553115">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4.1项目名称： _____________</w:t>
      </w:r>
    </w:p>
    <w:p w14:paraId="4EA08BA0">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4.2服务范围：_____________</w:t>
      </w:r>
    </w:p>
    <w:p w14:paraId="6D15430A">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4.3服务地点：_____________</w:t>
      </w:r>
    </w:p>
    <w:p w14:paraId="1ECAF2B4">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4.4服务完成时间：_____________</w:t>
      </w:r>
    </w:p>
    <w:p w14:paraId="43EDE2EF">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五、服务内容、质量标准和要求</w:t>
      </w:r>
    </w:p>
    <w:p w14:paraId="35034F03">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5.1服务工作量的计量方式：_____________</w:t>
      </w:r>
    </w:p>
    <w:p w14:paraId="6B7A4121">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5.2服务内容：_____________</w:t>
      </w:r>
    </w:p>
    <w:p w14:paraId="28E3E6FC">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5.3技术保障、服务人员组成、所涉及的货物的质量标准：</w:t>
      </w:r>
    </w:p>
    <w:p w14:paraId="7955E530">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（1）服务技术保障：_____________</w:t>
      </w:r>
    </w:p>
    <w:p w14:paraId="562E6CBD">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（2）服务人员组成：_____________</w:t>
      </w:r>
    </w:p>
    <w:p w14:paraId="2CDFFA2D">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（3）服务设备及物资投入及质量标准：_____________</w:t>
      </w:r>
    </w:p>
    <w:p w14:paraId="21394802">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5.4服务质量标准及要求：</w:t>
      </w:r>
    </w:p>
    <w:p w14:paraId="33EBC0CB">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887A0E9">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AC4AAA3">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5.4.3其他要求：</w:t>
      </w:r>
    </w:p>
    <w:p w14:paraId="5C144FD4">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六、服务履约验收或考核</w:t>
      </w:r>
    </w:p>
    <w:p w14:paraId="409DFB9B">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10C7638">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七、甲方的权利与义务</w:t>
      </w:r>
    </w:p>
    <w:p w14:paraId="785D66A7">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7.1甲方委派___________为联系人，联系方式 ___________，负责与乙方联系。如甲方联系人发生变更，甲方应书面告知乙方。</w:t>
      </w:r>
    </w:p>
    <w:p w14:paraId="005B45DB">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7.2甲方应为乙方开展服务工作提供必要的工作条件，以及对内对外沟通和配合协助。</w:t>
      </w:r>
    </w:p>
    <w:p w14:paraId="21147ED3">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7.3甲方应于___________之前提供服务所需的全部资料，并对所提供材料真实性、完整性、合法性负责。</w:t>
      </w:r>
    </w:p>
    <w:p w14:paraId="7E103E27">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B766835">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7.5甲方应按本合同约定及时足额支付服务费用及相关费用。</w:t>
      </w:r>
    </w:p>
    <w:p w14:paraId="7772FC0C">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7.6其他</w:t>
      </w:r>
    </w:p>
    <w:p w14:paraId="11A627C8">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八、乙方的权利与义务</w:t>
      </w:r>
    </w:p>
    <w:p w14:paraId="3447457D">
      <w:pPr>
        <w:pStyle w:val="11"/>
        <w:jc w:val="left"/>
        <w:rPr>
          <w:color w:val="auto"/>
          <w:sz w:val="24"/>
          <w:szCs w:val="24"/>
          <w:highlight w:val="none"/>
        </w:rPr>
      </w:pPr>
      <w:r>
        <w:rPr>
          <w:rFonts w:ascii="仿宋_GB2312" w:hAnsi="仿宋_GB2312" w:eastAsia="仿宋_GB2312" w:cs="仿宋_GB2312"/>
          <w:color w:val="auto"/>
          <w:sz w:val="24"/>
          <w:szCs w:val="24"/>
          <w:highlight w:val="none"/>
        </w:rPr>
        <w:t>8.1乙方委派___________为联系人，联系方式 ___________，负责与甲方联系。如乙方联系人发生变更，乙方应书面告知甲方</w:t>
      </w:r>
    </w:p>
    <w:p w14:paraId="70EEF3B1">
      <w:pPr>
        <w:pStyle w:val="11"/>
        <w:jc w:val="left"/>
        <w:rPr>
          <w:color w:val="auto"/>
          <w:sz w:val="24"/>
          <w:szCs w:val="24"/>
          <w:highlight w:val="none"/>
        </w:rPr>
      </w:pPr>
      <w:r>
        <w:rPr>
          <w:rFonts w:ascii="仿宋_GB2312" w:hAnsi="仿宋_GB2312" w:eastAsia="仿宋_GB2312" w:cs="仿宋_GB2312"/>
          <w:color w:val="auto"/>
          <w:sz w:val="24"/>
          <w:szCs w:val="24"/>
          <w:highlight w:val="none"/>
        </w:rPr>
        <w:t>8.2乙方应国家法律法规和{{乙方的权利与义务-响应要求-福建}}等要求开展{{乙方的权利与义务-开展服务-福建}}服务；</w:t>
      </w:r>
    </w:p>
    <w:p w14:paraId="13D888C4">
      <w:pPr>
        <w:pStyle w:val="11"/>
        <w:jc w:val="left"/>
        <w:rPr>
          <w:color w:val="auto"/>
          <w:sz w:val="24"/>
          <w:szCs w:val="24"/>
          <w:highlight w:val="none"/>
        </w:rPr>
      </w:pPr>
      <w:r>
        <w:rPr>
          <w:rFonts w:ascii="仿宋_GB2312" w:hAnsi="仿宋_GB2312" w:eastAsia="仿宋_GB2312" w:cs="仿宋_GB2312"/>
          <w:color w:val="auto"/>
          <w:sz w:val="24"/>
          <w:szCs w:val="24"/>
          <w:highlight w:val="none"/>
        </w:rPr>
        <w:t>8.3乙方及其所委派服务人员应按标准或协议约定方式出具服务成果，并对其真实性和合法性负法律责任；</w:t>
      </w:r>
    </w:p>
    <w:p w14:paraId="0DFA62FC">
      <w:pPr>
        <w:pStyle w:val="11"/>
        <w:jc w:val="left"/>
        <w:rPr>
          <w:color w:val="auto"/>
          <w:sz w:val="24"/>
          <w:szCs w:val="24"/>
          <w:highlight w:val="none"/>
        </w:rPr>
      </w:pPr>
      <w:r>
        <w:rPr>
          <w:rFonts w:ascii="仿宋_GB2312" w:hAnsi="仿宋_GB2312" w:eastAsia="仿宋_GB2312" w:cs="仿宋_GB2312"/>
          <w:color w:val="auto"/>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14:paraId="05A4E3F5">
      <w:pPr>
        <w:pStyle w:val="11"/>
        <w:jc w:val="left"/>
        <w:rPr>
          <w:color w:val="auto"/>
          <w:sz w:val="24"/>
          <w:szCs w:val="24"/>
          <w:highlight w:val="none"/>
        </w:rPr>
      </w:pPr>
      <w:r>
        <w:rPr>
          <w:rFonts w:ascii="仿宋_GB2312" w:hAnsi="仿宋_GB2312" w:eastAsia="仿宋_GB2312" w:cs="仿宋_GB2312"/>
          <w:color w:val="auto"/>
          <w:sz w:val="24"/>
          <w:szCs w:val="24"/>
          <w:highlight w:val="none"/>
        </w:rPr>
        <w:t>8.5乙方对服务业务应当单独建档，保存完整的工作记录，并对服务过程使用和暂存甲方的文件、材料和财物应当妥善保管。</w:t>
      </w:r>
    </w:p>
    <w:p w14:paraId="77C98FBA">
      <w:pPr>
        <w:pStyle w:val="11"/>
        <w:jc w:val="left"/>
        <w:rPr>
          <w:color w:val="auto"/>
          <w:sz w:val="24"/>
          <w:szCs w:val="24"/>
          <w:highlight w:val="none"/>
        </w:rPr>
      </w:pPr>
      <w:r>
        <w:rPr>
          <w:rFonts w:ascii="仿宋_GB2312" w:hAnsi="仿宋_GB2312" w:eastAsia="仿宋_GB2312" w:cs="仿宋_GB2312"/>
          <w:color w:val="auto"/>
          <w:sz w:val="24"/>
          <w:szCs w:val="24"/>
          <w:highlight w:val="none"/>
        </w:rPr>
        <w:t>8.6服务工作结束后,乙方将根据情况对甲方服务相关的管理制度及其他事项等提出改进意见。</w:t>
      </w:r>
    </w:p>
    <w:p w14:paraId="43847A38">
      <w:pPr>
        <w:pStyle w:val="11"/>
        <w:jc w:val="left"/>
        <w:rPr>
          <w:color w:val="auto"/>
          <w:sz w:val="24"/>
          <w:szCs w:val="24"/>
          <w:highlight w:val="none"/>
        </w:rPr>
      </w:pPr>
      <w:r>
        <w:rPr>
          <w:rFonts w:ascii="仿宋_GB2312" w:hAnsi="仿宋_GB2312" w:eastAsia="仿宋_GB2312" w:cs="仿宋_GB2312"/>
          <w:color w:val="auto"/>
          <w:sz w:val="24"/>
          <w:szCs w:val="24"/>
          <w:highlight w:val="none"/>
        </w:rPr>
        <w:t>8.7乙方完全遵守《中华人民共和国劳动合同法》有关规定和《中华人民共和国妇女权益保障法》中关于“劳动和社会保障权益”的有关要求。</w:t>
      </w:r>
    </w:p>
    <w:p w14:paraId="38CF72E5">
      <w:pPr>
        <w:pStyle w:val="11"/>
        <w:jc w:val="left"/>
        <w:rPr>
          <w:color w:val="auto"/>
          <w:sz w:val="24"/>
          <w:szCs w:val="24"/>
          <w:highlight w:val="none"/>
        </w:rPr>
      </w:pPr>
      <w:r>
        <w:rPr>
          <w:rFonts w:ascii="仿宋_GB2312" w:hAnsi="仿宋_GB2312" w:eastAsia="仿宋_GB2312" w:cs="仿宋_GB2312"/>
          <w:color w:val="auto"/>
          <w:sz w:val="24"/>
          <w:szCs w:val="24"/>
          <w:highlight w:val="none"/>
        </w:rPr>
        <w:t>8.8其他</w:t>
      </w:r>
    </w:p>
    <w:p w14:paraId="0A4518A4">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九、资金支付方式、时间和条件</w:t>
      </w:r>
      <w:r>
        <w:rPr>
          <w:color w:val="auto"/>
          <w:sz w:val="24"/>
          <w:szCs w:val="24"/>
          <w:highlight w:val="none"/>
        </w:rPr>
        <w:br w:type="textWrapping"/>
      </w:r>
    </w:p>
    <w:p w14:paraId="22F5DFAB">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十、履约保证金</w:t>
      </w:r>
    </w:p>
    <w:p w14:paraId="185F206E">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□有，□无。具体如下：（按照采购文件规定填写）。</w:t>
      </w:r>
    </w:p>
    <w:p w14:paraId="510F515C">
      <w:pPr>
        <w:pStyle w:val="11"/>
        <w:jc w:val="left"/>
        <w:rPr>
          <w:color w:val="auto"/>
          <w:sz w:val="24"/>
          <w:szCs w:val="24"/>
          <w:highlight w:val="none"/>
        </w:rPr>
      </w:pPr>
      <w:r>
        <w:rPr>
          <w:rFonts w:ascii="仿宋_GB2312" w:hAnsi="仿宋_GB2312" w:eastAsia="仿宋_GB2312" w:cs="仿宋_GB2312"/>
          <w:color w:val="auto"/>
          <w:sz w:val="24"/>
          <w:szCs w:val="24"/>
          <w:highlight w:val="none"/>
        </w:rPr>
        <w:t>10.1乙方向甲方缴纳人民币 / 元作为本合同的履约保证金。</w:t>
      </w:r>
    </w:p>
    <w:p w14:paraId="428A8AF1">
      <w:pPr>
        <w:pStyle w:val="11"/>
        <w:jc w:val="left"/>
        <w:rPr>
          <w:color w:val="auto"/>
          <w:sz w:val="24"/>
          <w:szCs w:val="24"/>
          <w:highlight w:val="none"/>
        </w:rPr>
      </w:pPr>
      <w:r>
        <w:rPr>
          <w:rFonts w:ascii="仿宋_GB2312" w:hAnsi="仿宋_GB2312" w:eastAsia="仿宋_GB2312" w:cs="仿宋_GB2312"/>
          <w:color w:val="auto"/>
          <w:sz w:val="24"/>
          <w:szCs w:val="24"/>
          <w:highlight w:val="none"/>
        </w:rPr>
        <w:t>10.2履约保证金缴纳形式：支票/汇票/电汇/保函等非现金形式。</w:t>
      </w:r>
    </w:p>
    <w:p w14:paraId="696213C8">
      <w:pPr>
        <w:pStyle w:val="11"/>
        <w:jc w:val="left"/>
        <w:rPr>
          <w:color w:val="auto"/>
          <w:sz w:val="24"/>
          <w:szCs w:val="24"/>
          <w:highlight w:val="none"/>
        </w:rPr>
      </w:pPr>
      <w:r>
        <w:rPr>
          <w:rFonts w:ascii="仿宋_GB2312" w:hAnsi="仿宋_GB2312" w:eastAsia="仿宋_GB2312" w:cs="仿宋_GB2312"/>
          <w:color w:val="auto"/>
          <w:sz w:val="24"/>
          <w:szCs w:val="24"/>
          <w:highlight w:val="none"/>
        </w:rPr>
        <w:t>10.3履约保证金合同履行完毕前有效，合同履行完毕后一次性结清退还。</w:t>
      </w:r>
    </w:p>
    <w:p w14:paraId="4E3390E5">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十一、合同期限</w:t>
      </w:r>
      <w:r>
        <w:rPr>
          <w:color w:val="auto"/>
          <w:sz w:val="24"/>
          <w:szCs w:val="24"/>
          <w:highlight w:val="none"/>
        </w:rPr>
        <w:br w:type="textWrapping"/>
      </w:r>
    </w:p>
    <w:p w14:paraId="4C808453">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十二、保密条款</w:t>
      </w:r>
    </w:p>
    <w:p w14:paraId="6031A248">
      <w:pPr>
        <w:pStyle w:val="11"/>
        <w:jc w:val="left"/>
        <w:rPr>
          <w:color w:val="auto"/>
          <w:sz w:val="24"/>
          <w:szCs w:val="24"/>
          <w:highlight w:val="none"/>
        </w:rPr>
      </w:pPr>
      <w:r>
        <w:rPr>
          <w:rFonts w:ascii="仿宋_GB2312" w:hAnsi="仿宋_GB2312" w:eastAsia="仿宋_GB2312" w:cs="仿宋_GB2312"/>
          <w:color w:val="auto"/>
          <w:sz w:val="24"/>
          <w:szCs w:val="24"/>
          <w:highlight w:val="none"/>
        </w:rPr>
        <w:t>12.1对于在采购和合同履行过程中所获悉的属于保密的内容，甲、乙双方均负有保密义务。</w:t>
      </w:r>
    </w:p>
    <w:p w14:paraId="0C06A399">
      <w:pPr>
        <w:pStyle w:val="11"/>
        <w:jc w:val="left"/>
        <w:rPr>
          <w:color w:val="auto"/>
          <w:sz w:val="24"/>
          <w:szCs w:val="24"/>
          <w:highlight w:val="none"/>
        </w:rPr>
      </w:pPr>
      <w:r>
        <w:rPr>
          <w:rFonts w:ascii="仿宋_GB2312" w:hAnsi="仿宋_GB2312" w:eastAsia="仿宋_GB2312" w:cs="仿宋_GB2312"/>
          <w:color w:val="auto"/>
          <w:sz w:val="24"/>
          <w:szCs w:val="24"/>
          <w:highlight w:val="none"/>
        </w:rPr>
        <w:t>12.2其他</w:t>
      </w:r>
    </w:p>
    <w:p w14:paraId="6B573E91">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十三、违约责任</w:t>
      </w:r>
    </w:p>
    <w:p w14:paraId="32991D3D">
      <w:pPr>
        <w:pStyle w:val="11"/>
        <w:jc w:val="left"/>
        <w:rPr>
          <w:color w:val="auto"/>
          <w:sz w:val="24"/>
          <w:szCs w:val="24"/>
          <w:highlight w:val="none"/>
        </w:rPr>
      </w:pPr>
      <w:r>
        <w:rPr>
          <w:rFonts w:ascii="仿宋_GB2312" w:hAnsi="仿宋_GB2312" w:eastAsia="仿宋_GB2312" w:cs="仿宋_GB2312"/>
          <w:color w:val="auto"/>
          <w:sz w:val="24"/>
          <w:szCs w:val="24"/>
          <w:highlight w:val="none"/>
        </w:rPr>
        <w:t>13.1甲方违约责任</w:t>
      </w:r>
    </w:p>
    <w:p w14:paraId="1E02A8DC">
      <w:pPr>
        <w:pStyle w:val="11"/>
        <w:jc w:val="left"/>
        <w:rPr>
          <w:color w:val="auto"/>
          <w:sz w:val="24"/>
          <w:szCs w:val="24"/>
          <w:highlight w:val="none"/>
        </w:rPr>
      </w:pPr>
      <w:r>
        <w:rPr>
          <w:rFonts w:ascii="仿宋_GB2312" w:hAnsi="仿宋_GB2312" w:eastAsia="仿宋_GB2312" w:cs="仿宋_GB2312"/>
          <w:color w:val="auto"/>
          <w:sz w:val="24"/>
          <w:szCs w:val="24"/>
          <w:highlight w:val="none"/>
        </w:rPr>
        <w:t>（1）甲方无正当理由拒绝乙方提供合格服务的，甲方应向乙方偿付所拒收合同总价________的违约金</w:t>
      </w:r>
    </w:p>
    <w:p w14:paraId="6CFC0196">
      <w:pPr>
        <w:pStyle w:val="11"/>
        <w:jc w:val="left"/>
        <w:rPr>
          <w:color w:val="auto"/>
          <w:sz w:val="24"/>
          <w:szCs w:val="24"/>
          <w:highlight w:val="none"/>
        </w:rPr>
      </w:pPr>
      <w:r>
        <w:rPr>
          <w:rFonts w:ascii="仿宋_GB2312" w:hAnsi="仿宋_GB2312" w:eastAsia="仿宋_GB2312" w:cs="仿宋_GB2312"/>
          <w:color w:val="auto"/>
          <w:sz w:val="24"/>
          <w:szCs w:val="24"/>
          <w:highlight w:val="none"/>
        </w:rPr>
        <w:t>（2）甲方无故逾期验收和办理合同款项支付手续的,甲方应按逾期付款总额每日________向乙方支付违约金。</w:t>
      </w:r>
    </w:p>
    <w:p w14:paraId="2799D123">
      <w:pPr>
        <w:pStyle w:val="11"/>
        <w:jc w:val="left"/>
        <w:rPr>
          <w:color w:val="auto"/>
          <w:sz w:val="24"/>
          <w:szCs w:val="24"/>
          <w:highlight w:val="none"/>
        </w:rPr>
      </w:pPr>
      <w:r>
        <w:rPr>
          <w:rFonts w:ascii="仿宋_GB2312" w:hAnsi="仿宋_GB2312" w:eastAsia="仿宋_GB2312" w:cs="仿宋_GB2312"/>
          <w:color w:val="auto"/>
          <w:sz w:val="24"/>
          <w:szCs w:val="24"/>
          <w:highlight w:val="none"/>
        </w:rPr>
        <w:t>（3）其他违约情形</w:t>
      </w:r>
    </w:p>
    <w:p w14:paraId="58A343EF">
      <w:pPr>
        <w:pStyle w:val="11"/>
        <w:jc w:val="left"/>
        <w:rPr>
          <w:color w:val="auto"/>
          <w:sz w:val="24"/>
          <w:szCs w:val="24"/>
          <w:highlight w:val="none"/>
        </w:rPr>
      </w:pPr>
      <w:r>
        <w:rPr>
          <w:rFonts w:ascii="仿宋_GB2312" w:hAnsi="仿宋_GB2312" w:eastAsia="仿宋_GB2312" w:cs="仿宋_GB2312"/>
          <w:color w:val="auto"/>
          <w:sz w:val="24"/>
          <w:szCs w:val="24"/>
          <w:highlight w:val="none"/>
        </w:rPr>
        <w:t>13.2乙方违约责任</w:t>
      </w:r>
    </w:p>
    <w:p w14:paraId="320E6BB5">
      <w:pPr>
        <w:pStyle w:val="11"/>
        <w:jc w:val="left"/>
        <w:rPr>
          <w:color w:val="auto"/>
          <w:sz w:val="24"/>
          <w:szCs w:val="24"/>
          <w:highlight w:val="none"/>
        </w:rPr>
      </w:pPr>
      <w:r>
        <w:rPr>
          <w:rFonts w:ascii="仿宋_GB2312" w:hAnsi="仿宋_GB2312" w:eastAsia="仿宋_GB2312" w:cs="仿宋_GB2312"/>
          <w:color w:val="auto"/>
          <w:sz w:val="24"/>
          <w:szCs w:val="24"/>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1C618F1B">
      <w:pPr>
        <w:pStyle w:val="11"/>
        <w:jc w:val="left"/>
        <w:rPr>
          <w:color w:val="auto"/>
          <w:sz w:val="24"/>
          <w:szCs w:val="24"/>
          <w:highlight w:val="none"/>
        </w:rPr>
      </w:pPr>
      <w:r>
        <w:rPr>
          <w:rFonts w:ascii="仿宋_GB2312" w:hAnsi="仿宋_GB2312" w:eastAsia="仿宋_GB2312" w:cs="仿宋_GB2312"/>
          <w:color w:val="auto"/>
          <w:sz w:val="24"/>
          <w:szCs w:val="24"/>
          <w:highlight w:val="none"/>
        </w:rPr>
        <w:t>（2）乙方所履行的服务不符合合同规定及《采购文件》规定标准的，甲方有权拒绝，乙方愿意整改但逾期履行的，按乙方逾期履行处理。乙方拒绝整改的，视为“乙方不按合同约定履约”</w:t>
      </w:r>
    </w:p>
    <w:p w14:paraId="2AD8E0EB">
      <w:pPr>
        <w:pStyle w:val="11"/>
        <w:jc w:val="left"/>
        <w:rPr>
          <w:color w:val="auto"/>
          <w:sz w:val="24"/>
          <w:szCs w:val="24"/>
          <w:highlight w:val="none"/>
        </w:rPr>
      </w:pPr>
      <w:r>
        <w:rPr>
          <w:rFonts w:ascii="仿宋_GB2312" w:hAnsi="仿宋_GB2312" w:eastAsia="仿宋_GB2312" w:cs="仿宋_GB2312"/>
          <w:color w:val="auto"/>
          <w:sz w:val="24"/>
          <w:szCs w:val="24"/>
          <w:highlight w:val="none"/>
        </w:rPr>
        <w:t>（3）乙方不按合同约定履约的，甲方可以解除采购合同，并对乙方已缴纳的履约保证金作“不予退还”处理。同时，乙方须按以下约定向甲方支付违约金：</w:t>
      </w:r>
    </w:p>
    <w:p w14:paraId="78D9CFC2">
      <w:pPr>
        <w:pStyle w:val="11"/>
        <w:jc w:val="left"/>
        <w:rPr>
          <w:color w:val="auto"/>
          <w:sz w:val="24"/>
          <w:szCs w:val="24"/>
          <w:highlight w:val="none"/>
        </w:rPr>
      </w:pPr>
      <w:r>
        <w:rPr>
          <w:rFonts w:ascii="仿宋_GB2312" w:hAnsi="仿宋_GB2312" w:eastAsia="仿宋_GB2312" w:cs="仿宋_GB2312"/>
          <w:color w:val="auto"/>
          <w:sz w:val="24"/>
          <w:szCs w:val="24"/>
          <w:highlight w:val="none"/>
        </w:rPr>
        <w:t>（4）其他违约情形</w:t>
      </w:r>
    </w:p>
    <w:p w14:paraId="3C072B68">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十四、不可抗力事件处理</w:t>
      </w:r>
    </w:p>
    <w:p w14:paraId="19E1376A">
      <w:pPr>
        <w:pStyle w:val="11"/>
        <w:jc w:val="left"/>
        <w:rPr>
          <w:color w:val="auto"/>
          <w:sz w:val="24"/>
          <w:szCs w:val="24"/>
          <w:highlight w:val="none"/>
        </w:rPr>
      </w:pPr>
      <w:r>
        <w:rPr>
          <w:rFonts w:ascii="仿宋_GB2312" w:hAnsi="仿宋_GB2312" w:eastAsia="仿宋_GB2312" w:cs="仿宋_GB2312"/>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ED2A5C2">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十五、解决争议的方法</w:t>
      </w:r>
    </w:p>
    <w:p w14:paraId="7C427510">
      <w:pPr>
        <w:pStyle w:val="11"/>
        <w:jc w:val="left"/>
        <w:rPr>
          <w:color w:val="auto"/>
          <w:sz w:val="24"/>
          <w:szCs w:val="24"/>
          <w:highlight w:val="none"/>
        </w:rPr>
      </w:pPr>
      <w:r>
        <w:rPr>
          <w:rFonts w:ascii="仿宋_GB2312" w:hAnsi="仿宋_GB2312" w:eastAsia="仿宋_GB2312" w:cs="仿宋_GB2312"/>
          <w:color w:val="auto"/>
          <w:sz w:val="24"/>
          <w:szCs w:val="24"/>
          <w:highlight w:val="none"/>
        </w:rPr>
        <w:t>15.1甲、乙双方协商解决。</w:t>
      </w:r>
    </w:p>
    <w:p w14:paraId="28ED6122">
      <w:pPr>
        <w:pStyle w:val="11"/>
        <w:jc w:val="left"/>
        <w:rPr>
          <w:color w:val="auto"/>
          <w:sz w:val="24"/>
          <w:szCs w:val="24"/>
          <w:highlight w:val="none"/>
        </w:rPr>
      </w:pPr>
      <w:r>
        <w:rPr>
          <w:rFonts w:ascii="仿宋_GB2312" w:hAnsi="仿宋_GB2312" w:eastAsia="仿宋_GB2312" w:cs="仿宋_GB2312"/>
          <w:color w:val="auto"/>
          <w:sz w:val="24"/>
          <w:szCs w:val="24"/>
          <w:highlight w:val="none"/>
        </w:rPr>
        <w:t>15.2若协商解决不成，双方明确按以下第_种方式解决：</w:t>
      </w:r>
    </w:p>
    <w:p w14:paraId="36E05D4A">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1、提交仲裁委员会仲裁，具体如下：</w:t>
      </w:r>
    </w:p>
    <w:p w14:paraId="55053C4C">
      <w:pPr>
        <w:pStyle w:val="11"/>
        <w:spacing w:line="300" w:lineRule="auto"/>
        <w:jc w:val="left"/>
        <w:rPr>
          <w:color w:val="auto"/>
          <w:sz w:val="24"/>
          <w:szCs w:val="24"/>
          <w:highlight w:val="none"/>
        </w:rPr>
      </w:pPr>
      <w:r>
        <w:rPr>
          <w:rFonts w:ascii="仿宋_GB2312" w:hAnsi="仿宋_GB2312" w:eastAsia="仿宋_GB2312" w:cs="仿宋_GB2312"/>
          <w:color w:val="auto"/>
          <w:sz w:val="24"/>
          <w:szCs w:val="24"/>
          <w:highlight w:val="none"/>
        </w:rPr>
        <w:t xml:space="preserve"> 2、向人民法院提起诉讼。</w:t>
      </w:r>
    </w:p>
    <w:p w14:paraId="2F3D4E52">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十六、合同其他条款</w:t>
      </w:r>
      <w:r>
        <w:rPr>
          <w:color w:val="auto"/>
          <w:sz w:val="24"/>
          <w:szCs w:val="24"/>
          <w:highlight w:val="none"/>
        </w:rPr>
        <w:br w:type="textWrapping"/>
      </w:r>
    </w:p>
    <w:p w14:paraId="3CAA643D">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十七、其他约定</w:t>
      </w:r>
    </w:p>
    <w:p w14:paraId="41D652BF">
      <w:pPr>
        <w:pStyle w:val="11"/>
        <w:jc w:val="left"/>
        <w:rPr>
          <w:color w:val="auto"/>
          <w:sz w:val="24"/>
          <w:szCs w:val="24"/>
          <w:highlight w:val="none"/>
        </w:rPr>
      </w:pPr>
      <w:r>
        <w:rPr>
          <w:rFonts w:ascii="仿宋_GB2312" w:hAnsi="仿宋_GB2312" w:eastAsia="仿宋_GB2312" w:cs="仿宋_GB2312"/>
          <w:color w:val="auto"/>
          <w:sz w:val="24"/>
          <w:szCs w:val="24"/>
          <w:highlight w:val="none"/>
        </w:rPr>
        <w:t>17.1合同文件与本合同具有同等法律效力。</w:t>
      </w:r>
    </w:p>
    <w:p w14:paraId="2D8C6E9E">
      <w:pPr>
        <w:pStyle w:val="11"/>
        <w:jc w:val="left"/>
        <w:rPr>
          <w:color w:val="auto"/>
          <w:sz w:val="24"/>
          <w:szCs w:val="24"/>
          <w:highlight w:val="none"/>
        </w:rPr>
      </w:pPr>
      <w:r>
        <w:rPr>
          <w:rFonts w:ascii="仿宋_GB2312" w:hAnsi="仿宋_GB2312" w:eastAsia="仿宋_GB2312" w:cs="仿宋_GB2312"/>
          <w:color w:val="auto"/>
          <w:sz w:val="24"/>
          <w:szCs w:val="24"/>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00E1AF7">
      <w:pPr>
        <w:pStyle w:val="11"/>
        <w:jc w:val="left"/>
        <w:rPr>
          <w:color w:val="auto"/>
          <w:sz w:val="24"/>
          <w:szCs w:val="24"/>
          <w:highlight w:val="none"/>
        </w:rPr>
      </w:pPr>
      <w:r>
        <w:rPr>
          <w:rFonts w:ascii="仿宋_GB2312" w:hAnsi="仿宋_GB2312" w:eastAsia="仿宋_GB2312" w:cs="仿宋_GB2312"/>
          <w:color w:val="auto"/>
          <w:sz w:val="24"/>
          <w:szCs w:val="24"/>
          <w:highlight w:val="none"/>
        </w:rPr>
        <w:t>17.3本合同未尽事宜，遵照《中华人民共和国民法典》有关条文执行。</w:t>
      </w:r>
    </w:p>
    <w:p w14:paraId="6CD78404">
      <w:pPr>
        <w:pStyle w:val="11"/>
        <w:jc w:val="left"/>
        <w:rPr>
          <w:color w:val="auto"/>
          <w:sz w:val="24"/>
          <w:szCs w:val="24"/>
          <w:highlight w:val="none"/>
        </w:rPr>
      </w:pPr>
      <w:r>
        <w:rPr>
          <w:rFonts w:ascii="仿宋_GB2312" w:hAnsi="仿宋_GB2312" w:eastAsia="仿宋_GB2312" w:cs="仿宋_GB2312"/>
          <w:color w:val="auto"/>
          <w:sz w:val="24"/>
          <w:szCs w:val="24"/>
          <w:highlight w:val="none"/>
        </w:rPr>
        <w:t>17.4本合同正本一式_______份，具有同等法律效力，甲方、乙方各执_______份；副本_______份，_______</w:t>
      </w:r>
    </w:p>
    <w:p w14:paraId="2DC2D168">
      <w:pPr>
        <w:pStyle w:val="11"/>
        <w:jc w:val="left"/>
        <w:rPr>
          <w:color w:val="auto"/>
          <w:sz w:val="24"/>
          <w:szCs w:val="24"/>
          <w:highlight w:val="none"/>
        </w:rPr>
      </w:pPr>
      <w:r>
        <w:rPr>
          <w:rFonts w:ascii="仿宋_GB2312" w:hAnsi="仿宋_GB2312" w:eastAsia="仿宋_GB2312" w:cs="仿宋_GB2312"/>
          <w:color w:val="auto"/>
          <w:sz w:val="24"/>
          <w:szCs w:val="24"/>
          <w:highlight w:val="none"/>
        </w:rPr>
        <w:t>17.5其他</w:t>
      </w:r>
    </w:p>
    <w:p w14:paraId="122AE5B1">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十八、合同附件</w:t>
      </w:r>
    </w:p>
    <w:p w14:paraId="56AFA631">
      <w:pPr>
        <w:pStyle w:val="11"/>
        <w:jc w:val="left"/>
        <w:outlineLvl w:val="3"/>
        <w:rPr>
          <w:color w:val="auto"/>
          <w:sz w:val="24"/>
          <w:szCs w:val="24"/>
          <w:highlight w:val="none"/>
        </w:rPr>
      </w:pPr>
      <w:r>
        <w:rPr>
          <w:rFonts w:ascii="仿宋_GB2312" w:hAnsi="仿宋_GB2312" w:eastAsia="仿宋_GB2312" w:cs="仿宋_GB2312"/>
          <w:b/>
          <w:color w:val="auto"/>
          <w:sz w:val="24"/>
          <w:szCs w:val="24"/>
          <w:highlight w:val="none"/>
        </w:rPr>
        <w:t xml:space="preserve"> 十九、合同融资支付约定</w:t>
      </w:r>
    </w:p>
    <w:p w14:paraId="31CBFC07">
      <w:pPr>
        <w:pStyle w:val="11"/>
        <w:jc w:val="left"/>
        <w:rPr>
          <w:color w:val="auto"/>
          <w:sz w:val="24"/>
          <w:szCs w:val="24"/>
          <w:highlight w:val="none"/>
        </w:rPr>
      </w:pPr>
      <w:r>
        <w:rPr>
          <w:rFonts w:ascii="仿宋_GB2312" w:hAnsi="仿宋_GB2312" w:eastAsia="仿宋_GB2312" w:cs="仿宋_GB2312"/>
          <w:b/>
          <w:color w:val="auto"/>
          <w:sz w:val="24"/>
          <w:szCs w:val="24"/>
          <w:highlight w:val="none"/>
        </w:rPr>
        <w:t>19.1本合同已用于政府采购合同融资，为本项目提供合同融资的金融机构为：_______，本合同项下所有款项，甲方须支付至本合同约定的乙方账号，未经_______书面同意，不得变更账号。</w:t>
      </w:r>
    </w:p>
    <w:p w14:paraId="269E8594">
      <w:pPr>
        <w:pStyle w:val="11"/>
        <w:jc w:val="left"/>
        <w:rPr>
          <w:color w:val="auto"/>
          <w:sz w:val="24"/>
          <w:szCs w:val="24"/>
          <w:highlight w:val="none"/>
        </w:rPr>
      </w:pPr>
      <w:r>
        <w:rPr>
          <w:rFonts w:ascii="仿宋_GB2312" w:hAnsi="仿宋_GB2312" w:eastAsia="仿宋_GB2312" w:cs="仿宋_GB2312"/>
          <w:color w:val="auto"/>
          <w:sz w:val="24"/>
          <w:szCs w:val="24"/>
          <w:highlight w:val="none"/>
        </w:rPr>
        <w:t>中标（成交）供应商应于采购合同签订之日起_______内，向发放政采贷的金融机构提交政府采购中标（成交）通知书和政府采购合同，贷款金额以政府采购合同金额为限。</w:t>
      </w:r>
      <w:r>
        <w:rPr>
          <w:color w:val="auto"/>
          <w:sz w:val="24"/>
          <w:szCs w:val="24"/>
          <w:highlight w:val="none"/>
        </w:rPr>
        <w:br w:type="textWrapping"/>
      </w:r>
      <w:r>
        <w:rPr>
          <w:color w:val="auto"/>
          <w:sz w:val="24"/>
          <w:szCs w:val="24"/>
          <w:highlight w:val="none"/>
        </w:rPr>
        <w:br w:type="textWrapping"/>
      </w:r>
    </w:p>
    <w:p w14:paraId="3DC0367C">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甲方（采购人）：</w:t>
      </w:r>
    </w:p>
    <w:p w14:paraId="327C8F67">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法定（授权）代表人：</w:t>
      </w:r>
    </w:p>
    <w:p w14:paraId="48154B4C">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纳税人识别号：</w:t>
      </w:r>
    </w:p>
    <w:p w14:paraId="54025C61">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开户银行：</w:t>
      </w:r>
    </w:p>
    <w:p w14:paraId="339C8070">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账号：</w:t>
      </w:r>
    </w:p>
    <w:p w14:paraId="38DF6792">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乙方（中标或成交人）：</w:t>
      </w:r>
    </w:p>
    <w:p w14:paraId="4115D617">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法定（授权）代表人：</w:t>
      </w:r>
    </w:p>
    <w:p w14:paraId="001E3791">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纳税人识别号：</w:t>
      </w:r>
    </w:p>
    <w:p w14:paraId="10C6C46B">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开户银行：</w:t>
      </w:r>
    </w:p>
    <w:p w14:paraId="3520DD13">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账号：</w:t>
      </w:r>
    </w:p>
    <w:p w14:paraId="54601EA5">
      <w:pPr>
        <w:pStyle w:val="11"/>
        <w:jc w:val="left"/>
        <w:rPr>
          <w:color w:val="auto"/>
          <w:sz w:val="24"/>
          <w:szCs w:val="24"/>
          <w:highlight w:val="none"/>
        </w:rPr>
      </w:pPr>
      <w:r>
        <w:rPr>
          <w:rFonts w:ascii="仿宋_GB2312" w:hAnsi="仿宋_GB2312" w:eastAsia="仿宋_GB2312" w:cs="仿宋_GB2312"/>
          <w:color w:val="auto"/>
          <w:sz w:val="24"/>
          <w:szCs w:val="24"/>
          <w:highlight w:val="none"/>
        </w:rPr>
        <w:t>签订地点：_____________</w:t>
      </w:r>
    </w:p>
    <w:p w14:paraId="507EAA60">
      <w:pPr>
        <w:pStyle w:val="11"/>
        <w:jc w:val="left"/>
        <w:rPr>
          <w:color w:val="auto"/>
          <w:sz w:val="24"/>
          <w:szCs w:val="24"/>
          <w:highlight w:val="none"/>
        </w:rPr>
      </w:pPr>
      <w:r>
        <w:rPr>
          <w:rFonts w:ascii="仿宋_GB2312" w:hAnsi="仿宋_GB2312" w:eastAsia="仿宋_GB2312" w:cs="仿宋_GB2312"/>
          <w:color w:val="auto"/>
          <w:sz w:val="24"/>
          <w:szCs w:val="24"/>
          <w:highlight w:val="none"/>
        </w:rPr>
        <w:t>签订日期：____年___月___日</w:t>
      </w:r>
    </w:p>
    <w:p w14:paraId="17D2088D">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35C93454">
      <w:pPr>
        <w:pStyle w:val="11"/>
        <w:jc w:val="center"/>
        <w:outlineLvl w:val="1"/>
        <w:rPr>
          <w:color w:val="auto"/>
          <w:sz w:val="24"/>
          <w:szCs w:val="24"/>
          <w:highlight w:val="none"/>
        </w:rPr>
      </w:pPr>
      <w:r>
        <w:rPr>
          <w:rFonts w:ascii="仿宋_GB2312" w:hAnsi="仿宋_GB2312" w:eastAsia="仿宋_GB2312" w:cs="仿宋_GB2312"/>
          <w:b/>
          <w:color w:val="auto"/>
          <w:sz w:val="24"/>
          <w:szCs w:val="24"/>
          <w:highlight w:val="none"/>
        </w:rPr>
        <w:t>第七章 电子投标文件格式</w:t>
      </w:r>
    </w:p>
    <w:p w14:paraId="3D69E65B">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编制说明</w:t>
      </w:r>
    </w:p>
    <w:p w14:paraId="1499C6A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1、除招标文件另有规定外，本章中：</w:t>
      </w:r>
    </w:p>
    <w:p w14:paraId="2EC843F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1.1涉及投标人的“全称”：</w:t>
      </w:r>
    </w:p>
    <w:p w14:paraId="329AC21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（1）不接受联合体投标的，指投标人的全称。</w:t>
      </w:r>
    </w:p>
    <w:p w14:paraId="57A7260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（2）接受联合体投标且投标人为联合体的，指牵头方的全称并加注（联合体牵头方），即应表述为：“牵头方的全称（联合体牵头方）”。</w:t>
      </w:r>
    </w:p>
    <w:p w14:paraId="620A16A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1.2涉及投标人“加盖单位公章”：</w:t>
      </w:r>
    </w:p>
    <w:p w14:paraId="0C943B4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（1）不接受联合体投标的，指加盖投标人的单位公章。</w:t>
      </w:r>
    </w:p>
    <w:p w14:paraId="7018DDD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（2）接受联合体投标且投标人为联合体的，指加盖联合体牵头方的单位公章。</w:t>
      </w:r>
    </w:p>
    <w:p w14:paraId="3F7EAD7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1.3涉及“投标人代表签字”：</w:t>
      </w:r>
    </w:p>
    <w:p w14:paraId="5558CB6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（1）不接受联合体投标的，指由投标人的单位负责人或其授权的委托代理人签字，由委托代理人签字的，应提供“单位授权书”。</w:t>
      </w:r>
    </w:p>
    <w:p w14:paraId="4DEDCE86">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（2）接受联合体投标且投标人为联合体的，指由联合体牵头方的单位负责人或其授权的委托代理人签字，由委托代理人签字的，应提供“单位授权书”。</w:t>
      </w:r>
    </w:p>
    <w:p w14:paraId="0A04A7F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1.4“其他组织”指合伙企业、非企业专业服务机构、个体工商户、农村承包经营户等。</w:t>
      </w:r>
    </w:p>
    <w:p w14:paraId="7F36F57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1.5“自然人”指具有完全民事行为能力、能够承担民事责任和义务的中国公民。</w:t>
      </w:r>
    </w:p>
    <w:p w14:paraId="3E2BC02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2、除招标文件另有规定外，本章中“投标人的资格及资信证明文件”：</w:t>
      </w:r>
    </w:p>
    <w:p w14:paraId="7B89A97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2.1投标人应按照招标文件第四章第1.3条第（2）款规定及本章规定进行编制，如有必要，可增加附页，附页作为资格及资信文件的组成部分。</w:t>
      </w:r>
    </w:p>
    <w:p w14:paraId="6EAD200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2.2接受联合体投标且投标人为联合体的，联合体中的各方均应按照本章第2.1条规定提交相应的全部资料。</w:t>
      </w:r>
    </w:p>
    <w:p w14:paraId="2BD0D1A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3、投标人对电子投标文件的索引应编制页码。</w:t>
      </w:r>
    </w:p>
    <w:p w14:paraId="0897FCF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4、本章提供格式仅供参考，投标人应根据自身实际情况制作电子投标文件。</w:t>
      </w:r>
    </w:p>
    <w:p w14:paraId="536A87B4">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048A1676">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封面格式(资格及资信证明部分)</w:t>
      </w:r>
    </w:p>
    <w:p w14:paraId="3F98A840">
      <w:pPr>
        <w:pStyle w:val="11"/>
        <w:jc w:val="center"/>
        <w:outlineLvl w:val="0"/>
        <w:rPr>
          <w:color w:val="auto"/>
          <w:sz w:val="24"/>
          <w:szCs w:val="24"/>
          <w:highlight w:val="none"/>
        </w:rPr>
      </w:pPr>
      <w:r>
        <w:rPr>
          <w:rFonts w:ascii="仿宋_GB2312" w:hAnsi="仿宋_GB2312" w:eastAsia="仿宋_GB2312" w:cs="仿宋_GB2312"/>
          <w:b/>
          <w:color w:val="auto"/>
          <w:sz w:val="24"/>
          <w:szCs w:val="24"/>
          <w:highlight w:val="none"/>
        </w:rPr>
        <w:t>福建省政府采购投标文件</w:t>
      </w:r>
    </w:p>
    <w:p w14:paraId="446C6477">
      <w:pPr>
        <w:pStyle w:val="11"/>
        <w:jc w:val="center"/>
        <w:outlineLvl w:val="0"/>
        <w:rPr>
          <w:color w:val="auto"/>
          <w:sz w:val="24"/>
          <w:szCs w:val="24"/>
          <w:highlight w:val="none"/>
        </w:rPr>
      </w:pPr>
      <w:r>
        <w:rPr>
          <w:rFonts w:ascii="仿宋_GB2312" w:hAnsi="仿宋_GB2312" w:eastAsia="仿宋_GB2312" w:cs="仿宋_GB2312"/>
          <w:b/>
          <w:color w:val="auto"/>
          <w:sz w:val="24"/>
          <w:szCs w:val="24"/>
          <w:highlight w:val="none"/>
        </w:rPr>
        <w:t>（资格及资信证明部分）</w:t>
      </w:r>
      <w:r>
        <w:rPr>
          <w:color w:val="auto"/>
          <w:sz w:val="24"/>
          <w:szCs w:val="24"/>
          <w:highlight w:val="none"/>
        </w:rPr>
        <w:br w:type="textWrapping"/>
      </w:r>
      <w:r>
        <w:rPr>
          <w:color w:val="auto"/>
          <w:sz w:val="24"/>
          <w:szCs w:val="24"/>
          <w:highlight w:val="none"/>
        </w:rPr>
        <w:br w:type="textWrapping"/>
      </w:r>
    </w:p>
    <w:p w14:paraId="3B18F718">
      <w:pPr>
        <w:pStyle w:val="11"/>
        <w:jc w:val="center"/>
        <w:outlineLvl w:val="1"/>
        <w:rPr>
          <w:color w:val="auto"/>
          <w:sz w:val="24"/>
          <w:szCs w:val="24"/>
          <w:highlight w:val="none"/>
        </w:rPr>
      </w:pPr>
      <w:r>
        <w:rPr>
          <w:rFonts w:ascii="仿宋_GB2312" w:hAnsi="仿宋_GB2312" w:eastAsia="仿宋_GB2312" w:cs="仿宋_GB2312"/>
          <w:b/>
          <w:color w:val="auto"/>
          <w:sz w:val="24"/>
          <w:szCs w:val="24"/>
          <w:highlight w:val="none"/>
        </w:rPr>
        <w:t>（填写正本或副本）</w:t>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p>
    <w:p w14:paraId="2148EE7E">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项目名称：（由投标人填写）</w:t>
      </w:r>
    </w:p>
    <w:p w14:paraId="13AB14C2">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备案编号：（由投标人填写）</w:t>
      </w:r>
    </w:p>
    <w:p w14:paraId="484B71DA">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项目编号：（由投标人填写）</w:t>
      </w:r>
    </w:p>
    <w:p w14:paraId="602F8D56">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所投采购包：（由投标人填写）</w:t>
      </w:r>
    </w:p>
    <w:p w14:paraId="085184D1">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投标人：（填写“全称”）</w:t>
      </w:r>
    </w:p>
    <w:p w14:paraId="07D1AC40">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（由投标人填写）年（由投标人填写）月</w:t>
      </w:r>
    </w:p>
    <w:p w14:paraId="22F880B5">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08ADD382">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索引</w:t>
      </w:r>
    </w:p>
    <w:p w14:paraId="16EC61F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一、投标函</w:t>
      </w:r>
    </w:p>
    <w:p w14:paraId="36A0022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二、投标人的资格及资信证明文件</w:t>
      </w:r>
    </w:p>
    <w:p w14:paraId="3A225FD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三、投标保证金</w:t>
      </w:r>
    </w:p>
    <w:p w14:paraId="7A42B63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2E52B5C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796BC76A">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03262DF9">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一、投标函</w:t>
      </w:r>
    </w:p>
    <w:p w14:paraId="7AC9E53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63959A16">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兹收到贵单位关于</w:t>
      </w:r>
      <w:r>
        <w:rPr>
          <w:rFonts w:ascii="仿宋_GB2312" w:hAnsi="仿宋_GB2312" w:eastAsia="仿宋_GB2312" w:cs="仿宋_GB2312"/>
          <w:color w:val="auto"/>
          <w:sz w:val="24"/>
          <w:szCs w:val="24"/>
          <w:highlight w:val="none"/>
          <w:u w:val="single"/>
        </w:rPr>
        <w:t xml:space="preserve">（填写“项目名称”） </w:t>
      </w:r>
      <w:r>
        <w:rPr>
          <w:rFonts w:ascii="仿宋_GB2312" w:hAnsi="仿宋_GB2312" w:eastAsia="仿宋_GB2312" w:cs="仿宋_GB2312"/>
          <w:color w:val="auto"/>
          <w:sz w:val="24"/>
          <w:szCs w:val="24"/>
          <w:highlight w:val="none"/>
        </w:rPr>
        <w:t>项目</w:t>
      </w:r>
      <w:r>
        <w:rPr>
          <w:rFonts w:ascii="仿宋_GB2312" w:hAnsi="仿宋_GB2312" w:eastAsia="仿宋_GB2312" w:cs="仿宋_GB2312"/>
          <w:color w:val="auto"/>
          <w:sz w:val="24"/>
          <w:szCs w:val="24"/>
          <w:highlight w:val="none"/>
          <w:u w:val="single"/>
        </w:rPr>
        <w:t xml:space="preserve">（项目编号：　　　　　） </w:t>
      </w:r>
      <w:r>
        <w:rPr>
          <w:rFonts w:ascii="仿宋_GB2312" w:hAnsi="仿宋_GB2312" w:eastAsia="仿宋_GB2312" w:cs="仿宋_GB2312"/>
          <w:color w:val="auto"/>
          <w:sz w:val="24"/>
          <w:szCs w:val="24"/>
          <w:highlight w:val="none"/>
        </w:rPr>
        <w:t>的投标邀请，本投标人代表</w:t>
      </w:r>
      <w:r>
        <w:rPr>
          <w:rFonts w:ascii="仿宋_GB2312" w:hAnsi="仿宋_GB2312" w:eastAsia="仿宋_GB2312" w:cs="仿宋_GB2312"/>
          <w:color w:val="auto"/>
          <w:sz w:val="24"/>
          <w:szCs w:val="24"/>
          <w:highlight w:val="none"/>
          <w:u w:val="single"/>
        </w:rPr>
        <w:t xml:space="preserve">（填写“全名”） </w:t>
      </w:r>
      <w:r>
        <w:rPr>
          <w:rFonts w:ascii="仿宋_GB2312" w:hAnsi="仿宋_GB2312" w:eastAsia="仿宋_GB2312" w:cs="仿宋_GB2312"/>
          <w:color w:val="auto"/>
          <w:sz w:val="24"/>
          <w:szCs w:val="24"/>
          <w:highlight w:val="none"/>
        </w:rPr>
        <w:t>已获得我方正式授权并代表投标人（填写“全称”）参加投标，并提交电子投标文件。我方提交的全部电子投标文件由下述部分组成：</w:t>
      </w:r>
    </w:p>
    <w:p w14:paraId="72CE3C2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（1）资格及资信证明部分</w:t>
      </w:r>
    </w:p>
    <w:p w14:paraId="6CFB4FD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①投标函</w:t>
      </w:r>
    </w:p>
    <w:p w14:paraId="52313F5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②投标人的资格及资信证明文件</w:t>
      </w:r>
    </w:p>
    <w:p w14:paraId="47846E1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③投标保证金</w:t>
      </w:r>
    </w:p>
    <w:p w14:paraId="5BF8808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（2）报价部分</w:t>
      </w:r>
    </w:p>
    <w:p w14:paraId="7F7B2644">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①开标一览表</w:t>
      </w:r>
    </w:p>
    <w:p w14:paraId="7A06354E">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②投标分项报价表</w:t>
      </w:r>
    </w:p>
    <w:p w14:paraId="3E07E8E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③招标文件规定的价格扣除证明材料（若有）</w:t>
      </w:r>
    </w:p>
    <w:p w14:paraId="0ACF617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④招标文件规定的加分证明材料（若有）</w:t>
      </w:r>
    </w:p>
    <w:p w14:paraId="63C3F756">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（3）技术商务部分</w:t>
      </w:r>
    </w:p>
    <w:p w14:paraId="0C07943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①标的说明一览表</w:t>
      </w:r>
    </w:p>
    <w:p w14:paraId="70A6D6D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②技术和服务要求响应表</w:t>
      </w:r>
    </w:p>
    <w:p w14:paraId="35A304A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③商务条件响应表</w:t>
      </w:r>
    </w:p>
    <w:p w14:paraId="1DE357F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④投标人提交的其他资料（若有）</w:t>
      </w:r>
    </w:p>
    <w:p w14:paraId="0BF49B3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根据本函，本投标人代表宣布我方保证遵守招标文件的全部规定，同时：</w:t>
      </w:r>
    </w:p>
    <w:p w14:paraId="0E665CE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1、确认：</w:t>
      </w:r>
    </w:p>
    <w:p w14:paraId="6483A55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1.1所投采购包的投标报价详见“开标一览表”及“投标分项报价表”。</w:t>
      </w:r>
    </w:p>
    <w:p w14:paraId="1724D6B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654E873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2、承诺及声明：</w:t>
      </w:r>
    </w:p>
    <w:p w14:paraId="26BBE09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2.1我方具备招标文件第一章载明的“投标人的资格要求”且符合招标文件第三章载明的“二、投标人”之规定，否则投标无效。</w:t>
      </w:r>
    </w:p>
    <w:p w14:paraId="1DD4686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2.2我方提交的电子投标文件各组成部分的全部内容及资料是不可割离且真实、有效、准确、完整和不具有任何误导性的，否则产生不利后果由我方承担责任。</w:t>
      </w:r>
    </w:p>
    <w:p w14:paraId="5B37829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2.3我方提供的标的价格不高于同期市场价格，否则产生不利后果由我方承担责任。</w:t>
      </w:r>
    </w:p>
    <w:p w14:paraId="6A0A52A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2.4投标保证金：若出现招标文件第三章规定的不予退还情形，同意贵单位不予退还。</w:t>
      </w:r>
    </w:p>
    <w:p w14:paraId="05943C4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2.5投标有效期：按照招标文件第三章规定执行，并在招标文件第二章载明的期限内保持有效。</w:t>
      </w:r>
    </w:p>
    <w:p w14:paraId="0EF7CC4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2.6若中标，将按照招标文件、我方电子投标文件及政府采购合同履行责任和义务。</w:t>
      </w:r>
    </w:p>
    <w:p w14:paraId="0E6E80F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2.7若贵单位要求，我方同意提供与本项目投标有关的一切资料、数据或文件，并完全理解贵单位不一定要接受最低的投标报价或收到的任何投标。</w:t>
      </w:r>
    </w:p>
    <w:p w14:paraId="5E2B9CD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2.8 我方承诺遵守《中华人民共和国劳动合同法》有关规定和《中华人民共和国妇女权益保障法 》中关于“劳动和社会保障权益”的有关要求。</w:t>
      </w:r>
    </w:p>
    <w:p w14:paraId="3D7A711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2.9我方承诺电子投标文件所提供的全部资料真实可靠，并接受评标委员会、采购人、采购代理机构、监管部门进一步审查其中任何资料真实性的要求。</w:t>
      </w:r>
    </w:p>
    <w:p w14:paraId="3A8F21E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2.10除招标文件另有规定外，对于贵单位按照下述联络方式发出的任何信息或通知，均视为我方已收悉前述信息或通知的全部内容：</w:t>
      </w:r>
    </w:p>
    <w:p w14:paraId="2C97404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xml:space="preserve">通信地址：                                        </w:t>
      </w:r>
    </w:p>
    <w:p w14:paraId="604FFD5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xml:space="preserve">邮编：                                           </w:t>
      </w:r>
    </w:p>
    <w:p w14:paraId="5881CFB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联系方法：（包括但不限于：联系人、联系电话、手机、传真、电子邮箱等）</w:t>
      </w:r>
    </w:p>
    <w:p w14:paraId="4658AB4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投标人：（全称并加盖单位公章）</w:t>
      </w:r>
    </w:p>
    <w:p w14:paraId="67FBFC0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日期：    年   月   日</w:t>
      </w:r>
    </w:p>
    <w:p w14:paraId="6FF1AD48">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41766899">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二、投标人的资格及资信证明文件</w:t>
      </w:r>
    </w:p>
    <w:p w14:paraId="322657CE">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二-1单位授权书（若有）</w:t>
      </w:r>
    </w:p>
    <w:p w14:paraId="1513327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6FA24F2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我方的单位负责人</w:t>
      </w:r>
      <w:r>
        <w:rPr>
          <w:rFonts w:ascii="仿宋_GB2312" w:hAnsi="仿宋_GB2312" w:eastAsia="仿宋_GB2312" w:cs="仿宋_GB2312"/>
          <w:color w:val="auto"/>
          <w:sz w:val="24"/>
          <w:szCs w:val="24"/>
          <w:highlight w:val="none"/>
          <w:u w:val="single"/>
        </w:rPr>
        <w:t>（填写“单位负责人全名”）</w:t>
      </w:r>
      <w:r>
        <w:rPr>
          <w:rFonts w:ascii="仿宋_GB2312" w:hAnsi="仿宋_GB2312" w:eastAsia="仿宋_GB2312" w:cs="仿宋_GB2312"/>
          <w:color w:val="auto"/>
          <w:sz w:val="24"/>
          <w:szCs w:val="24"/>
          <w:highlight w:val="none"/>
        </w:rPr>
        <w:t>授权</w:t>
      </w:r>
      <w:r>
        <w:rPr>
          <w:rFonts w:ascii="仿宋_GB2312" w:hAnsi="仿宋_GB2312" w:eastAsia="仿宋_GB2312" w:cs="仿宋_GB2312"/>
          <w:color w:val="auto"/>
          <w:sz w:val="24"/>
          <w:szCs w:val="24"/>
          <w:highlight w:val="none"/>
          <w:u w:val="single"/>
        </w:rPr>
        <w:t>（填写“投标人代表全名”）</w:t>
      </w:r>
      <w:r>
        <w:rPr>
          <w:rFonts w:ascii="仿宋_GB2312" w:hAnsi="仿宋_GB2312" w:eastAsia="仿宋_GB2312" w:cs="仿宋_GB2312"/>
          <w:color w:val="auto"/>
          <w:sz w:val="24"/>
          <w:szCs w:val="24"/>
          <w:highlight w:val="none"/>
        </w:rPr>
        <w:t>为投标人代表，代表我方参加</w:t>
      </w:r>
      <w:r>
        <w:rPr>
          <w:rFonts w:ascii="仿宋_GB2312" w:hAnsi="仿宋_GB2312" w:eastAsia="仿宋_GB2312" w:cs="仿宋_GB2312"/>
          <w:color w:val="auto"/>
          <w:sz w:val="24"/>
          <w:szCs w:val="24"/>
          <w:highlight w:val="none"/>
          <w:u w:val="single"/>
        </w:rPr>
        <w:t>（填写“项目名称”）</w:t>
      </w:r>
      <w:r>
        <w:rPr>
          <w:rFonts w:ascii="仿宋_GB2312" w:hAnsi="仿宋_GB2312" w:eastAsia="仿宋_GB2312" w:cs="仿宋_GB2312"/>
          <w:color w:val="auto"/>
          <w:sz w:val="24"/>
          <w:szCs w:val="24"/>
          <w:highlight w:val="none"/>
        </w:rPr>
        <w:t>项目（项目编号：</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34AF8A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投标人代表无转委权。特此授权。</w:t>
      </w:r>
    </w:p>
    <w:p w14:paraId="7DBF234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（以下无正文）</w:t>
      </w:r>
    </w:p>
    <w:p w14:paraId="3118157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单位负责人：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身份证号：</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手机：</w:t>
      </w:r>
      <w:r>
        <w:rPr>
          <w:rFonts w:ascii="仿宋_GB2312" w:hAnsi="仿宋_GB2312" w:eastAsia="仿宋_GB2312" w:cs="仿宋_GB2312"/>
          <w:color w:val="auto"/>
          <w:sz w:val="24"/>
          <w:szCs w:val="24"/>
          <w:highlight w:val="none"/>
          <w:u w:val="single"/>
        </w:rPr>
        <w:t>　　　　　</w:t>
      </w:r>
    </w:p>
    <w:p w14:paraId="345A320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投标人代表：</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身份证号：</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手机：</w:t>
      </w:r>
      <w:r>
        <w:rPr>
          <w:rFonts w:ascii="仿宋_GB2312" w:hAnsi="仿宋_GB2312" w:eastAsia="仿宋_GB2312" w:cs="仿宋_GB2312"/>
          <w:color w:val="auto"/>
          <w:sz w:val="24"/>
          <w:szCs w:val="24"/>
          <w:highlight w:val="none"/>
          <w:u w:val="single"/>
        </w:rPr>
        <w:t>　　　　　</w:t>
      </w:r>
    </w:p>
    <w:p w14:paraId="29BE5AC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授权方</w:t>
      </w:r>
    </w:p>
    <w:p w14:paraId="14F2FDF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67307456">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签署日期： 年 月 日</w:t>
      </w:r>
    </w:p>
    <w:p w14:paraId="7F5DE6D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附：单位负责人、投标人代表的身份证正反面复印件</w:t>
      </w:r>
    </w:p>
    <w:p w14:paraId="751E01B1">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要求：真实有效且内容完整、清晰、整洁。</w:t>
      </w:r>
    </w:p>
    <w:p w14:paraId="64D7B51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76B79E6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1、企业（银行、保险、石油石化、电力、电信等行业除外）、事业单位和社会团体法人的“单位负责人”指法定代表人，即与实际提交的“营业执照等证明文件”载明的一致。</w:t>
      </w:r>
    </w:p>
    <w:p w14:paraId="4583265E">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E12699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0A82E14E">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4、投标人为自然人的，可不填写本授权书。</w:t>
      </w:r>
    </w:p>
    <w:p w14:paraId="026481F1">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63B7E38A">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二-2 证明材料</w:t>
      </w:r>
    </w:p>
    <w:p w14:paraId="5880757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1A693F9">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二-2-1 福建省政府采购供应商资格承诺函</w:t>
      </w:r>
    </w:p>
    <w:p w14:paraId="1317550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01CE114A">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单位名称(自然人姓名):</w:t>
      </w:r>
    </w:p>
    <w:p w14:paraId="1728C546">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统一社会信用代码(自然人身份证号码):</w:t>
      </w:r>
    </w:p>
    <w:p w14:paraId="40A05781">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法定代表人(负责人):</w:t>
      </w:r>
    </w:p>
    <w:p w14:paraId="283FB6E7">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联系地址和电话:</w:t>
      </w:r>
    </w:p>
    <w:p w14:paraId="007C0434">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0E7805A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一、我单位(本人)具备采购文件要求以及《中华人民共和国政府采购法》第二十二条规定的条件:</w:t>
      </w:r>
    </w:p>
    <w:p w14:paraId="3C55A41B">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1.具有独立承担民事责任的能力;</w:t>
      </w:r>
    </w:p>
    <w:p w14:paraId="0EDFB1D4">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2.具有良好的商业信誉和健全的财务会计制度;</w:t>
      </w:r>
    </w:p>
    <w:p w14:paraId="5346BCB9">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3.具有履行合同所必需的设备和专业技术能力;</w:t>
      </w:r>
    </w:p>
    <w:p w14:paraId="25682D11">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4.有依法缴纳税收和社会保障资金的良好记录;</w:t>
      </w:r>
    </w:p>
    <w:p w14:paraId="69CC2313">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5.参加政府采购活动前三年内，在经营活动中没有重大违法记录；</w:t>
      </w:r>
    </w:p>
    <w:p w14:paraId="416DCFCB">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6.法律、行政法规规定的其他条件。</w:t>
      </w:r>
    </w:p>
    <w:p w14:paraId="78029F9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EE6113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99EF72A">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供应商：</w:t>
      </w:r>
      <w:r>
        <w:rPr>
          <w:rFonts w:ascii="仿宋_GB2312" w:hAnsi="仿宋_GB2312" w:eastAsia="仿宋_GB2312" w:cs="仿宋_GB2312"/>
          <w:color w:val="auto"/>
          <w:sz w:val="24"/>
          <w:szCs w:val="24"/>
          <w:highlight w:val="none"/>
          <w:u w:val="single"/>
        </w:rPr>
        <w:t>名称(单位公章):</w:t>
      </w:r>
    </w:p>
    <w:p w14:paraId="0D9D9810">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6BABE9A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w:t>
      </w:r>
    </w:p>
    <w:p w14:paraId="3DCB486D">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1.我单位(本人)专指参加政府采购活动的供应商(含自然人)；</w:t>
      </w:r>
    </w:p>
    <w:p w14:paraId="6E5A44C5">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2.资格承诺的供应商应在投标(响应)文件中按此模板提供承诺函，否则，视为未按照招标文件规定提交投标人的资格及资信文件，按资格审查不通过处理。</w:t>
      </w:r>
    </w:p>
    <w:p w14:paraId="5F84F3DB">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63A79710">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二-2-2 资格证明材料</w:t>
      </w:r>
    </w:p>
    <w:p w14:paraId="40DA2EBB">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营业执照等证明文件</w:t>
      </w:r>
    </w:p>
    <w:p w14:paraId="5915C1A4">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7D988E1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）投标人为法人（包括企业、事业单位和社会团体）的</w:t>
      </w:r>
    </w:p>
    <w:p w14:paraId="3B9A68A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现附上由</w:t>
      </w:r>
      <w:r>
        <w:rPr>
          <w:rFonts w:ascii="仿宋_GB2312" w:hAnsi="仿宋_GB2312" w:eastAsia="仿宋_GB2312" w:cs="仿宋_GB2312"/>
          <w:color w:val="auto"/>
          <w:sz w:val="24"/>
          <w:szCs w:val="24"/>
          <w:highlight w:val="none"/>
          <w:u w:val="single"/>
        </w:rPr>
        <w:t>（（填写“签发机关全称”）</w:t>
      </w:r>
      <w:r>
        <w:rPr>
          <w:rFonts w:ascii="仿宋_GB2312" w:hAnsi="仿宋_GB2312" w:eastAsia="仿宋_GB2312" w:cs="仿宋_GB2312"/>
          <w:color w:val="auto"/>
          <w:sz w:val="24"/>
          <w:szCs w:val="24"/>
          <w:highlight w:val="none"/>
        </w:rPr>
        <w:t>签发的我方统一社会信用代码（请填写法人的具体证照名称）复印件，该证明材料真实有效，否则我方负全部责任。</w:t>
      </w:r>
    </w:p>
    <w:p w14:paraId="4C83F65E">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）投标人为非法人（包括其他组织、自然人）的</w:t>
      </w:r>
    </w:p>
    <w:p w14:paraId="3B3350B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□现附上由</w:t>
      </w:r>
      <w:r>
        <w:rPr>
          <w:rFonts w:ascii="仿宋_GB2312" w:hAnsi="仿宋_GB2312" w:eastAsia="仿宋_GB2312" w:cs="仿宋_GB2312"/>
          <w:color w:val="auto"/>
          <w:sz w:val="24"/>
          <w:szCs w:val="24"/>
          <w:highlight w:val="none"/>
          <w:u w:val="single"/>
        </w:rPr>
        <w:t>（（填写“签发机关全称”）</w:t>
      </w:r>
      <w:r>
        <w:rPr>
          <w:rFonts w:ascii="仿宋_GB2312" w:hAnsi="仿宋_GB2312" w:eastAsia="仿宋_GB2312" w:cs="仿宋_GB2312"/>
          <w:color w:val="auto"/>
          <w:sz w:val="24"/>
          <w:szCs w:val="24"/>
          <w:highlight w:val="none"/>
        </w:rPr>
        <w:t>签发的我方（请填写非自然人的非法人的具体证照名称）复印件，该证明材料真实有效，否则我方负全部责任。</w:t>
      </w:r>
    </w:p>
    <w:p w14:paraId="354B814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□现附上由</w:t>
      </w:r>
      <w:r>
        <w:rPr>
          <w:rFonts w:ascii="仿宋_GB2312" w:hAnsi="仿宋_GB2312" w:eastAsia="仿宋_GB2312" w:cs="仿宋_GB2312"/>
          <w:color w:val="auto"/>
          <w:sz w:val="24"/>
          <w:szCs w:val="24"/>
          <w:highlight w:val="none"/>
          <w:u w:val="single"/>
        </w:rPr>
        <w:t>（（填写“签发机关全称”）</w:t>
      </w:r>
      <w:r>
        <w:rPr>
          <w:rFonts w:ascii="仿宋_GB2312" w:hAnsi="仿宋_GB2312" w:eastAsia="仿宋_GB2312" w:cs="仿宋_GB2312"/>
          <w:color w:val="auto"/>
          <w:sz w:val="24"/>
          <w:szCs w:val="24"/>
          <w:highlight w:val="none"/>
        </w:rPr>
        <w:t>签发的我方（请填写自然人的身份证件名称）复印件，该证明材料真实有效，否则我方负全部责任。</w:t>
      </w:r>
    </w:p>
    <w:p w14:paraId="062990B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4F65A55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1、请投标人按照实际情况编制填写，在相应的（）中打“√”并选择相应的“□”（若有）后，再按照本格式的要求提供相应证明材料的复印件。</w:t>
      </w:r>
    </w:p>
    <w:p w14:paraId="648CACF4">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AEAC251">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53E1FC34">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34A46BDD">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3A073E4C">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财务状况报告（财务报告、或资信证明）</w:t>
      </w:r>
    </w:p>
    <w:p w14:paraId="5B527D3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1CF4A16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）投标人提供财务报告的</w:t>
      </w:r>
    </w:p>
    <w:p w14:paraId="5B4DA84E">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□企业适用：现附上我方</w:t>
      </w:r>
      <w:r>
        <w:rPr>
          <w:rFonts w:ascii="仿宋_GB2312" w:hAnsi="仿宋_GB2312" w:eastAsia="仿宋_GB2312" w:cs="仿宋_GB2312"/>
          <w:color w:val="auto"/>
          <w:sz w:val="24"/>
          <w:szCs w:val="24"/>
          <w:highlight w:val="none"/>
          <w:u w:val="single"/>
        </w:rPr>
        <w:t>（填写“具体的年度、或半年度、季度”）</w:t>
      </w:r>
      <w:r>
        <w:rPr>
          <w:rFonts w:ascii="仿宋_GB2312" w:hAnsi="仿宋_GB2312" w:eastAsia="仿宋_GB2312" w:cs="仿宋_GB2312"/>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47A3612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□事业单位适用：现附上我方</w:t>
      </w:r>
      <w:r>
        <w:rPr>
          <w:rFonts w:ascii="仿宋_GB2312" w:hAnsi="仿宋_GB2312" w:eastAsia="仿宋_GB2312" w:cs="仿宋_GB2312"/>
          <w:color w:val="auto"/>
          <w:sz w:val="24"/>
          <w:szCs w:val="24"/>
          <w:highlight w:val="none"/>
          <w:u w:val="single"/>
        </w:rPr>
        <w:t>（填写“具体的年度、或半年度、或季度”）</w:t>
      </w:r>
      <w:r>
        <w:rPr>
          <w:rFonts w:ascii="仿宋_GB2312" w:hAnsi="仿宋_GB2312" w:eastAsia="仿宋_GB2312" w:cs="仿宋_GB2312"/>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2172B01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□社会团体、民办非企适用：现附上我方</w:t>
      </w:r>
      <w:r>
        <w:rPr>
          <w:rFonts w:ascii="仿宋_GB2312" w:hAnsi="仿宋_GB2312" w:eastAsia="仿宋_GB2312" w:cs="仿宋_GB2312"/>
          <w:color w:val="auto"/>
          <w:sz w:val="24"/>
          <w:szCs w:val="24"/>
          <w:highlight w:val="none"/>
          <w:u w:val="single"/>
        </w:rPr>
        <w:t>（填写“具体的年度、或半年度、或季度”）</w:t>
      </w:r>
      <w:r>
        <w:rPr>
          <w:rFonts w:ascii="仿宋_GB2312" w:hAnsi="仿宋_GB2312" w:eastAsia="仿宋_GB2312" w:cs="仿宋_GB2312"/>
          <w:color w:val="auto"/>
          <w:sz w:val="24"/>
          <w:szCs w:val="24"/>
          <w:highlight w:val="none"/>
        </w:rPr>
        <w:t>财务报告复印件，包括资产负债表、业务活动表、现金流量表、会计师事务所营业执照和注册会计师资格证书，上述证明材料真实有效，否则我方负全部责任。</w:t>
      </w:r>
    </w:p>
    <w:p w14:paraId="6D15CB24">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）投标人提供资信证明的</w:t>
      </w:r>
    </w:p>
    <w:p w14:paraId="3F6284F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□非自然人适用（包括企业、事业单位、社会团体和其他组织）：现附上我方银行：</w:t>
      </w:r>
      <w:r>
        <w:rPr>
          <w:rFonts w:ascii="仿宋_GB2312" w:hAnsi="仿宋_GB2312" w:eastAsia="仿宋_GB2312" w:cs="仿宋_GB2312"/>
          <w:color w:val="auto"/>
          <w:sz w:val="24"/>
          <w:szCs w:val="24"/>
          <w:highlight w:val="none"/>
          <w:u w:val="single"/>
        </w:rPr>
        <w:t>（填写“开户银行全称”）</w:t>
      </w:r>
      <w:r>
        <w:rPr>
          <w:rFonts w:ascii="仿宋_GB2312" w:hAnsi="仿宋_GB2312" w:eastAsia="仿宋_GB2312" w:cs="仿宋_GB2312"/>
          <w:color w:val="auto"/>
          <w:sz w:val="24"/>
          <w:szCs w:val="24"/>
          <w:highlight w:val="none"/>
        </w:rPr>
        <w:t>出具的资信证明复印件，上述证明材料真实有效，否则我方负全部责任。</w:t>
      </w:r>
    </w:p>
    <w:p w14:paraId="4FB229F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□自然人适用：现附上我方银行</w:t>
      </w:r>
      <w:r>
        <w:rPr>
          <w:rFonts w:ascii="仿宋_GB2312" w:hAnsi="仿宋_GB2312" w:eastAsia="仿宋_GB2312" w:cs="仿宋_GB2312"/>
          <w:color w:val="auto"/>
          <w:sz w:val="24"/>
          <w:szCs w:val="24"/>
          <w:highlight w:val="none"/>
          <w:u w:val="single"/>
        </w:rPr>
        <w:t>：（填写自然人的“个人账户的开户银行全称”）</w:t>
      </w:r>
      <w:r>
        <w:rPr>
          <w:rFonts w:ascii="仿宋_GB2312" w:hAnsi="仿宋_GB2312" w:eastAsia="仿宋_GB2312" w:cs="仿宋_GB2312"/>
          <w:color w:val="auto"/>
          <w:sz w:val="24"/>
          <w:szCs w:val="24"/>
          <w:highlight w:val="none"/>
        </w:rPr>
        <w:t>出具的资信证明复印件，上述证明材料真实有效，否则我方负全部责任。</w:t>
      </w:r>
    </w:p>
    <w:p w14:paraId="7EF7D00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4FD9F1A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1、请投标人按照实际情况编制填写，在相应的（）中打“√”并选择相应的“□”（若有）后，再按照本格式的要求提供相应证明材料的复印件。</w:t>
      </w:r>
    </w:p>
    <w:p w14:paraId="0B6CB58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2、投标人提供的财务报告复印件（成立年限按照投标截止时间推算）应符合下列规定：</w:t>
      </w:r>
    </w:p>
    <w:p w14:paraId="7313993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2.1成立年限满1年及以上的投标人，提供经审计的招标文件规定的年度财务报告。</w:t>
      </w:r>
    </w:p>
    <w:p w14:paraId="4BC3F7A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2.2成立年限满半年但不足1年的投标人，提供该半年度中任一季度的季度财务报告或该半年度的半年度财务报告。</w:t>
      </w:r>
    </w:p>
    <w:p w14:paraId="3812589E">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80604F9">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4CC7FE5C">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3CC3527E">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1A0AF3E2">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依法缴纳税收证明材料</w:t>
      </w:r>
    </w:p>
    <w:p w14:paraId="603119E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0A66FE6E">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1、依法缴纳税收的投标人</w:t>
      </w:r>
    </w:p>
    <w:p w14:paraId="1201C59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）法人（包括企业、事业单位和社会团体）的</w:t>
      </w:r>
    </w:p>
    <w:p w14:paraId="0FB732C4">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现附上自</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至</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31C7048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）非法人（包括其他组织、自然人）的</w:t>
      </w:r>
    </w:p>
    <w:p w14:paraId="560FA8A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现附上自</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至</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53E160C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2、依法免税的投标人</w:t>
      </w:r>
    </w:p>
    <w:p w14:paraId="3DE6835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）现附上我方依法免税的证明材料复印件，上述证明材料真实有效，否则我方负全部责任。</w:t>
      </w:r>
    </w:p>
    <w:p w14:paraId="1E296EB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625234C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1、请投标人按照实际情况编制填写，在相应的（）中打“√”，并按照本格式的要求提供相应证明材料的复印件。</w:t>
      </w:r>
    </w:p>
    <w:p w14:paraId="7EF8EE96">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2、投标人提供的税收缴纳凭据复印件应符合下列规定：</w:t>
      </w:r>
    </w:p>
    <w:p w14:paraId="4F73AE5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6DAD9C4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2.2投标截止时间的当月成立的投标人，视同满足本项资格条件要求。</w:t>
      </w:r>
    </w:p>
    <w:p w14:paraId="4B10810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3、若为依法免税范围的投标人，提供依法免税证明材料的，视同满足本项资格条件要求。</w:t>
      </w:r>
    </w:p>
    <w:p w14:paraId="042A9539">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4FAB1A58">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4255A47D">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618C56D3">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依法缴纳社会保障资金证明材料</w:t>
      </w:r>
    </w:p>
    <w:p w14:paraId="6E3F4F74">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6F2D1F44">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1、依法缴纳社会保障资金的投标人</w:t>
      </w:r>
    </w:p>
    <w:p w14:paraId="106C270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）法人（包括企业、事业单位和社会团体）的</w:t>
      </w:r>
    </w:p>
    <w:p w14:paraId="0DADED7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现附上自</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至</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4219501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）非法人（包括其他组织、自然人）的</w:t>
      </w:r>
    </w:p>
    <w:p w14:paraId="0FCD635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自</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至</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7C9B6F5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2、依法不需要缴纳或暂缓缴纳社会保障资金的投标人</w:t>
      </w:r>
    </w:p>
    <w:p w14:paraId="797040A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）现附上我方依法不需要缴纳或暂缓缴纳社会保障资金证明材料复印件，上述证明材料真实有效，否则我方负全部责任。</w:t>
      </w:r>
    </w:p>
    <w:p w14:paraId="0F227CE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6264231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1、请投标人按照实际情况编制填写，在相应的（）中打“√”，并按照本格式的要求提供相应证明材料的复印件。</w:t>
      </w:r>
    </w:p>
    <w:p w14:paraId="4CBC7EB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2、投标人提供的社会保障资金缴纳凭据复印件应符合下列规定：</w:t>
      </w:r>
    </w:p>
    <w:p w14:paraId="3A274C6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53B6EEC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2.2投标截止时间的当月成立的投标人，视同满足本项资格条件要求。</w:t>
      </w:r>
    </w:p>
    <w:p w14:paraId="32E9D286">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3、若为依法不需要缴纳或暂缓缴纳社会保障资金的投标人，提供依法不需要缴纳或暂缓缴纳社会保障资金证明材料的，视同满足本项资格条件要求。</w:t>
      </w:r>
    </w:p>
    <w:p w14:paraId="62396F2D">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2CB4CC83">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25194D48">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53A95846">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具备履行合同所必需设备和专业技术能力的声明函（若有）</w:t>
      </w:r>
    </w:p>
    <w:p w14:paraId="40E91CD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469DA4FE">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我方具备履行合同所必需的设备和专业技术能力，否则产生不利后果由我方承担责任。</w:t>
      </w:r>
    </w:p>
    <w:p w14:paraId="0C1B44ED">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特此声明。</w:t>
      </w:r>
    </w:p>
    <w:p w14:paraId="4EB7FFB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6579D53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1、招标文件未要求投标人提供“具备履行合同所必需的设备和专业技术能力专项证明材料”的，投标人应提供本声明函。</w:t>
      </w:r>
    </w:p>
    <w:p w14:paraId="6BE27C2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2、招标文件要求投标人提供“具备履行合同所必需的设备和专业技术能力专项证明材料”的，投标人可不提供本声明函。</w:t>
      </w:r>
    </w:p>
    <w:p w14:paraId="6509D6A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3、请投标人根据实际情况如实声明，否则视为提供虚假材料。</w:t>
      </w:r>
    </w:p>
    <w:p w14:paraId="3FC5E762">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0FDA83B2">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509E97A6">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2989E482">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参加采购活动前三年内在经营活动中没有重大违法记录书面声明</w:t>
      </w:r>
    </w:p>
    <w:p w14:paraId="3B0F63C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4CAED56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4921A8DB">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特此声明。</w:t>
      </w:r>
    </w:p>
    <w:p w14:paraId="4E4CA78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5495420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65F8A7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请投标人根据实际情况如实声明，否则视为提供虚假材料。</w:t>
      </w:r>
    </w:p>
    <w:p w14:paraId="6319DFAD">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6C9476CB">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089D1CA6">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41154BD8">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二-3信用记录查询提示</w:t>
      </w:r>
    </w:p>
    <w:p w14:paraId="7B564B8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1、由资格审查小组通过网站查询并打印投标人的信用记录。</w:t>
      </w:r>
    </w:p>
    <w:p w14:paraId="2779440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941B98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A0AA1DA">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1EE90A7D">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二-4中小企业声明函</w:t>
      </w:r>
    </w:p>
    <w:p w14:paraId="31C2FD4E">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（以资格条件落实中小企业扶持政策时适用，若有）</w:t>
      </w:r>
    </w:p>
    <w:p w14:paraId="59BE5CE4">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中小企业声明函（货物）</w:t>
      </w:r>
    </w:p>
    <w:p w14:paraId="712CB706">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sz w:val="24"/>
          <w:szCs w:val="24"/>
          <w:highlight w:val="none"/>
          <w:u w:val="single"/>
        </w:rPr>
        <w:t>（单位名称）</w:t>
      </w:r>
      <w:r>
        <w:rPr>
          <w:rFonts w:ascii="仿宋_GB2312" w:hAnsi="仿宋_GB2312" w:eastAsia="仿宋_GB2312" w:cs="仿宋_GB2312"/>
          <w:color w:val="auto"/>
          <w:sz w:val="24"/>
          <w:szCs w:val="24"/>
          <w:highlight w:val="none"/>
        </w:rPr>
        <w:t>的</w:t>
      </w:r>
      <w:r>
        <w:rPr>
          <w:rFonts w:ascii="仿宋_GB2312" w:hAnsi="仿宋_GB2312" w:eastAsia="仿宋_GB2312" w:cs="仿宋_GB2312"/>
          <w:color w:val="auto"/>
          <w:sz w:val="24"/>
          <w:szCs w:val="24"/>
          <w:highlight w:val="none"/>
          <w:u w:val="single"/>
        </w:rPr>
        <w:t>（项目名称）</w:t>
      </w:r>
      <w:r>
        <w:rPr>
          <w:rFonts w:ascii="仿宋_GB2312" w:hAnsi="仿宋_GB2312" w:eastAsia="仿宋_GB2312" w:cs="仿宋_GB2312"/>
          <w:color w:val="auto"/>
          <w:sz w:val="24"/>
          <w:szCs w:val="24"/>
          <w:highlight w:val="none"/>
        </w:rPr>
        <w:t>采购活动，提供的货物全部由符合政策要求的中小企业制造。相关企业（含联合体中的中小企业、签订分包意向协议的中小企业）的具体情况如下：</w:t>
      </w:r>
    </w:p>
    <w:p w14:paraId="6082BAC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u w:val="single"/>
        </w:rPr>
        <w:t xml:space="preserve"> （标的名称） </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行业；制造商为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万元¹，属于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2408E4F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u w:val="single"/>
        </w:rPr>
        <w:t xml:space="preserve"> （标的名称） </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行业；制造商为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26EADD8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w:t>
      </w:r>
    </w:p>
    <w:p w14:paraId="1B0A055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以上企业，不属于大企业的分支机构，不存在控股股东为大企业的情形，也不存在与大企业的负责人为同一人的情形。</w:t>
      </w:r>
    </w:p>
    <w:p w14:paraId="5958F46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本企业对上述声明内容的真实性负责。如有虚假，将依法承担相应责任。</w:t>
      </w:r>
    </w:p>
    <w:p w14:paraId="3F08FD99">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4687496E">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28DEC90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79B1CF7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1、从业人员、营业收入、资产总额填报上一年度数据，无上一年度数据的新成立企业可不填报。</w:t>
      </w:r>
    </w:p>
    <w:p w14:paraId="2C0C7E76">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091040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0800A31">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29578B4E">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中小企业声明函（工程、服务）</w:t>
      </w:r>
    </w:p>
    <w:p w14:paraId="66954A5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sz w:val="24"/>
          <w:szCs w:val="24"/>
          <w:highlight w:val="none"/>
          <w:u w:val="single"/>
        </w:rPr>
        <w:t>（单位名称）</w:t>
      </w:r>
      <w:r>
        <w:rPr>
          <w:rFonts w:ascii="仿宋_GB2312" w:hAnsi="仿宋_GB2312" w:eastAsia="仿宋_GB2312" w:cs="仿宋_GB2312"/>
          <w:color w:val="auto"/>
          <w:sz w:val="24"/>
          <w:szCs w:val="24"/>
          <w:highlight w:val="none"/>
        </w:rPr>
        <w:t>的</w:t>
      </w:r>
      <w:r>
        <w:rPr>
          <w:rFonts w:ascii="仿宋_GB2312" w:hAnsi="仿宋_GB2312" w:eastAsia="仿宋_GB2312" w:cs="仿宋_GB2312"/>
          <w:color w:val="auto"/>
          <w:sz w:val="24"/>
          <w:szCs w:val="24"/>
          <w:highlight w:val="none"/>
          <w:u w:val="single"/>
        </w:rPr>
        <w:t>（项目名称）</w:t>
      </w:r>
      <w:r>
        <w:rPr>
          <w:rFonts w:ascii="仿宋_GB2312" w:hAnsi="仿宋_GB2312" w:eastAsia="仿宋_GB2312" w:cs="仿宋_GB2312"/>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7809A2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u w:val="single"/>
        </w:rPr>
        <w:t>（标的名称）</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；承建（承接）企业为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万元¹，属于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6F658C5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u w:val="single"/>
        </w:rPr>
        <w:t>（标的名称）</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；承建（承接）企业为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6D679D5E">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w:t>
      </w:r>
    </w:p>
    <w:p w14:paraId="78358234">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以上企业，不属于大企业的分支机构，不存在控股股东为大企业的情形，也不存在与大企业的负责人为同一人的情形。</w:t>
      </w:r>
    </w:p>
    <w:p w14:paraId="4D8F8C0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本企业对上述声明内容的真实性负责。如有虚假，将依法承担相应责任。</w:t>
      </w:r>
    </w:p>
    <w:p w14:paraId="3D63F7F8">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3BC24658">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3BB7CAD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011EA0D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1、从业人员、营业收入、资产总额填报上一年度数据，无上一年度数据的新成立企业可不填报。</w:t>
      </w:r>
    </w:p>
    <w:p w14:paraId="0202411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541DE7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17067F6">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094786CA">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残疾人福利性单位声明函</w:t>
      </w:r>
    </w:p>
    <w:p w14:paraId="2416B6F9">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（以资格条件落实中小企业扶持政策时适用，若有）</w:t>
      </w:r>
    </w:p>
    <w:p w14:paraId="0CAFF8F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66CF16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BB200C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）由本投标人承建的（填写“所投采购包、品目号”）工程</w:t>
      </w:r>
    </w:p>
    <w:p w14:paraId="1386B1A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）由本投标人承接的（填写“所投采购包、品目号”）服务；</w:t>
      </w:r>
    </w:p>
    <w:p w14:paraId="2425EFA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本投标人对上述声明的真实性负责。如有虚假，将依法承担相应责任。</w:t>
      </w:r>
    </w:p>
    <w:p w14:paraId="100EA0C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备注：</w:t>
      </w:r>
    </w:p>
    <w:p w14:paraId="3E7D760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1、请投标人按照实际情况编制填写本声明函，并在相应的（）中打“√”。</w:t>
      </w:r>
    </w:p>
    <w:p w14:paraId="7707BC7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2、若《残疾人福利性单位声明函》内容不真实，视为提供虚假材料。</w:t>
      </w:r>
    </w:p>
    <w:p w14:paraId="17413088">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3791A8BD">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0961EAA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附：</w:t>
      </w:r>
    </w:p>
    <w:p w14:paraId="35A57883">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监狱企业证明材料</w:t>
      </w:r>
    </w:p>
    <w:p w14:paraId="7948B73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7C9D24D9">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42BD46D0">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二-5联合体协议（若有）</w:t>
      </w:r>
    </w:p>
    <w:p w14:paraId="767884D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73E708F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兹有</w:t>
      </w:r>
      <w:r>
        <w:rPr>
          <w:rFonts w:ascii="仿宋_GB2312" w:hAnsi="仿宋_GB2312" w:eastAsia="仿宋_GB2312" w:cs="仿宋_GB2312"/>
          <w:color w:val="auto"/>
          <w:sz w:val="24"/>
          <w:szCs w:val="24"/>
          <w:highlight w:val="none"/>
          <w:u w:val="single"/>
        </w:rPr>
        <w:t>（填写“联合体中各方的全称”，各方的全称之间请用“、”分割）</w:t>
      </w:r>
      <w:r>
        <w:rPr>
          <w:rFonts w:ascii="仿宋_GB2312" w:hAnsi="仿宋_GB2312" w:eastAsia="仿宋_GB2312" w:cs="仿宋_GB2312"/>
          <w:color w:val="auto"/>
          <w:sz w:val="24"/>
          <w:szCs w:val="24"/>
          <w:highlight w:val="none"/>
        </w:rPr>
        <w:t>自愿组成联合体，共同参加</w:t>
      </w:r>
      <w:r>
        <w:rPr>
          <w:rFonts w:ascii="仿宋_GB2312" w:hAnsi="仿宋_GB2312" w:eastAsia="仿宋_GB2312" w:cs="仿宋_GB2312"/>
          <w:color w:val="auto"/>
          <w:sz w:val="24"/>
          <w:szCs w:val="24"/>
          <w:highlight w:val="none"/>
          <w:u w:val="single"/>
        </w:rPr>
        <w:t>（填写“项目名称”）</w:t>
      </w:r>
      <w:r>
        <w:rPr>
          <w:rFonts w:ascii="仿宋_GB2312" w:hAnsi="仿宋_GB2312" w:eastAsia="仿宋_GB2312" w:cs="仿宋_GB2312"/>
          <w:color w:val="auto"/>
          <w:sz w:val="24"/>
          <w:szCs w:val="24"/>
          <w:highlight w:val="none"/>
        </w:rPr>
        <w:t xml:space="preserve"> 项目（项目编号：</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）的投标。现就联合体参加本项目投标的有关事宜达成下列协议：</w:t>
      </w:r>
    </w:p>
    <w:p w14:paraId="054DAC5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一、联合体各方应承担的工作和义务具体如下：</w:t>
      </w:r>
    </w:p>
    <w:p w14:paraId="371575F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1、牵头方（全称）：</w:t>
      </w:r>
      <w:r>
        <w:rPr>
          <w:rFonts w:ascii="仿宋_GB2312" w:hAnsi="仿宋_GB2312" w:eastAsia="仿宋_GB2312" w:cs="仿宋_GB2312"/>
          <w:color w:val="auto"/>
          <w:sz w:val="24"/>
          <w:szCs w:val="24"/>
          <w:highlight w:val="none"/>
          <w:u w:val="single"/>
        </w:rPr>
        <w:t xml:space="preserve">（填写“工作及义务的具体内容”） </w:t>
      </w:r>
      <w:r>
        <w:rPr>
          <w:rFonts w:ascii="仿宋_GB2312" w:hAnsi="仿宋_GB2312" w:eastAsia="仿宋_GB2312" w:cs="仿宋_GB2312"/>
          <w:color w:val="auto"/>
          <w:sz w:val="24"/>
          <w:szCs w:val="24"/>
          <w:highlight w:val="none"/>
        </w:rPr>
        <w:t>；</w:t>
      </w:r>
    </w:p>
    <w:p w14:paraId="344E9BBE">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2、成员方：</w:t>
      </w:r>
    </w:p>
    <w:p w14:paraId="1DF94AF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2.1（成员一的全称）：</w:t>
      </w:r>
      <w:r>
        <w:rPr>
          <w:rFonts w:ascii="仿宋_GB2312" w:hAnsi="仿宋_GB2312" w:eastAsia="仿宋_GB2312" w:cs="仿宋_GB2312"/>
          <w:color w:val="auto"/>
          <w:sz w:val="24"/>
          <w:szCs w:val="24"/>
          <w:highlight w:val="none"/>
          <w:u w:val="single"/>
        </w:rPr>
        <w:t>（填写“工作及义务的具体内容”）</w:t>
      </w:r>
      <w:r>
        <w:rPr>
          <w:rFonts w:ascii="仿宋_GB2312" w:hAnsi="仿宋_GB2312" w:eastAsia="仿宋_GB2312" w:cs="仿宋_GB2312"/>
          <w:color w:val="auto"/>
          <w:sz w:val="24"/>
          <w:szCs w:val="24"/>
          <w:highlight w:val="none"/>
        </w:rPr>
        <w:t xml:space="preserve"> ；</w:t>
      </w:r>
    </w:p>
    <w:p w14:paraId="60972D6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w:t>
      </w:r>
    </w:p>
    <w:p w14:paraId="10E4D16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二、联合体各方的合同金额占比，具体如下：</w:t>
      </w:r>
    </w:p>
    <w:p w14:paraId="0008A2E4">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1.牵头方（</w:t>
      </w:r>
      <w:r>
        <w:rPr>
          <w:rFonts w:ascii="仿宋_GB2312" w:hAnsi="仿宋_GB2312" w:eastAsia="仿宋_GB2312" w:cs="仿宋_GB2312"/>
          <w:color w:val="auto"/>
          <w:sz w:val="24"/>
          <w:szCs w:val="24"/>
          <w:highlight w:val="none"/>
          <w:u w:val="single"/>
        </w:rPr>
        <w:t xml:space="preserve"> 全称</w:t>
      </w:r>
      <w:r>
        <w:rPr>
          <w:rFonts w:ascii="仿宋_GB2312" w:hAnsi="仿宋_GB2312" w:eastAsia="仿宋_GB2312" w:cs="仿宋_GB2312"/>
          <w:color w:val="auto"/>
          <w:sz w:val="24"/>
          <w:szCs w:val="24"/>
          <w:highlight w:val="none"/>
        </w:rPr>
        <w:t xml:space="preserve"> ）的合同金额占合同总额的</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w:t>
      </w:r>
    </w:p>
    <w:p w14:paraId="27EA94A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2.成员方：</w:t>
      </w:r>
    </w:p>
    <w:p w14:paraId="0293D58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2.1（</w:t>
      </w:r>
      <w:r>
        <w:rPr>
          <w:rFonts w:ascii="仿宋_GB2312" w:hAnsi="仿宋_GB2312" w:eastAsia="仿宋_GB2312" w:cs="仿宋_GB2312"/>
          <w:color w:val="auto"/>
          <w:sz w:val="24"/>
          <w:szCs w:val="24"/>
          <w:highlight w:val="none"/>
          <w:u w:val="single"/>
        </w:rPr>
        <w:t xml:space="preserve"> 成员1的全称 </w:t>
      </w:r>
      <w:r>
        <w:rPr>
          <w:rFonts w:ascii="仿宋_GB2312" w:hAnsi="仿宋_GB2312" w:eastAsia="仿宋_GB2312" w:cs="仿宋_GB2312"/>
          <w:color w:val="auto"/>
          <w:sz w:val="24"/>
          <w:szCs w:val="24"/>
          <w:highlight w:val="none"/>
        </w:rPr>
        <w:t>）的合同金额占合同总额的</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w:t>
      </w:r>
    </w:p>
    <w:p w14:paraId="503E26F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w:t>
      </w:r>
    </w:p>
    <w:p w14:paraId="19C750A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三、联合体各方约定：</w:t>
      </w:r>
    </w:p>
    <w:p w14:paraId="3FA1B02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1、由</w:t>
      </w:r>
      <w:r>
        <w:rPr>
          <w:rFonts w:ascii="仿宋_GB2312" w:hAnsi="仿宋_GB2312" w:eastAsia="仿宋_GB2312" w:cs="仿宋_GB2312"/>
          <w:color w:val="auto"/>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6D1B03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2、联合体各方约定由</w:t>
      </w:r>
      <w:r>
        <w:rPr>
          <w:rFonts w:ascii="仿宋_GB2312" w:hAnsi="仿宋_GB2312" w:eastAsia="仿宋_GB2312" w:cs="仿宋_GB2312"/>
          <w:color w:val="auto"/>
          <w:sz w:val="24"/>
          <w:szCs w:val="24"/>
          <w:highlight w:val="none"/>
          <w:u w:val="single"/>
        </w:rPr>
        <w:t>（填写“牵头方的全称”）代表联合体办理投标保证金事宜。</w:t>
      </w:r>
    </w:p>
    <w:p w14:paraId="4A63C42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34EC02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35568D5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五、本协议自签署之日起生效，政府采购合同履行完毕后自动失效。</w:t>
      </w:r>
    </w:p>
    <w:p w14:paraId="02F55E5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六、本协议一式</w:t>
      </w:r>
      <w:r>
        <w:rPr>
          <w:rFonts w:ascii="仿宋_GB2312" w:hAnsi="仿宋_GB2312" w:eastAsia="仿宋_GB2312" w:cs="仿宋_GB2312"/>
          <w:color w:val="auto"/>
          <w:sz w:val="24"/>
          <w:szCs w:val="24"/>
          <w:highlight w:val="none"/>
          <w:u w:val="single"/>
        </w:rPr>
        <w:t>（填写具体份数）</w:t>
      </w:r>
      <w:r>
        <w:rPr>
          <w:rFonts w:ascii="仿宋_GB2312" w:hAnsi="仿宋_GB2312" w:eastAsia="仿宋_GB2312" w:cs="仿宋_GB2312"/>
          <w:color w:val="auto"/>
          <w:sz w:val="24"/>
          <w:szCs w:val="24"/>
          <w:highlight w:val="none"/>
        </w:rPr>
        <w:t>份，联合体各方各执一份，电子投标文件中提交一份。</w:t>
      </w:r>
    </w:p>
    <w:p w14:paraId="6AD95DF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（以下无正文）</w:t>
      </w:r>
    </w:p>
    <w:p w14:paraId="2D45619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牵头方：</w:t>
      </w:r>
      <w:r>
        <w:rPr>
          <w:rFonts w:ascii="仿宋_GB2312" w:hAnsi="仿宋_GB2312" w:eastAsia="仿宋_GB2312" w:cs="仿宋_GB2312"/>
          <w:color w:val="auto"/>
          <w:sz w:val="24"/>
          <w:szCs w:val="24"/>
          <w:highlight w:val="none"/>
          <w:u w:val="single"/>
        </w:rPr>
        <w:t>（全称并加盖单位公章）</w:t>
      </w:r>
    </w:p>
    <w:p w14:paraId="095DD52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法定代表人或其委托代理人：</w:t>
      </w:r>
      <w:r>
        <w:rPr>
          <w:rFonts w:ascii="仿宋_GB2312" w:hAnsi="仿宋_GB2312" w:eastAsia="仿宋_GB2312" w:cs="仿宋_GB2312"/>
          <w:color w:val="auto"/>
          <w:sz w:val="24"/>
          <w:szCs w:val="24"/>
          <w:highlight w:val="none"/>
          <w:u w:val="single"/>
        </w:rPr>
        <w:t xml:space="preserve"> （签字或盖章）</w:t>
      </w:r>
    </w:p>
    <w:p w14:paraId="34D6A25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成员一：</w:t>
      </w:r>
      <w:r>
        <w:rPr>
          <w:rFonts w:ascii="仿宋_GB2312" w:hAnsi="仿宋_GB2312" w:eastAsia="仿宋_GB2312" w:cs="仿宋_GB2312"/>
          <w:color w:val="auto"/>
          <w:sz w:val="24"/>
          <w:szCs w:val="24"/>
          <w:highlight w:val="none"/>
          <w:u w:val="single"/>
        </w:rPr>
        <w:t>（全称并加盖成员一的单位公章）</w:t>
      </w:r>
    </w:p>
    <w:p w14:paraId="490D016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法定代表人或其委托代理人：</w:t>
      </w:r>
      <w:r>
        <w:rPr>
          <w:rFonts w:ascii="仿宋_GB2312" w:hAnsi="仿宋_GB2312" w:eastAsia="仿宋_GB2312" w:cs="仿宋_GB2312"/>
          <w:color w:val="auto"/>
          <w:sz w:val="24"/>
          <w:szCs w:val="24"/>
          <w:highlight w:val="none"/>
          <w:u w:val="single"/>
        </w:rPr>
        <w:t xml:space="preserve"> （签字或盖章）</w:t>
      </w:r>
    </w:p>
    <w:p w14:paraId="0D871ED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w:t>
      </w:r>
    </w:p>
    <w:p w14:paraId="4832FAAE">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成员**：</w:t>
      </w:r>
      <w:r>
        <w:rPr>
          <w:rFonts w:ascii="仿宋_GB2312" w:hAnsi="仿宋_GB2312" w:eastAsia="仿宋_GB2312" w:cs="仿宋_GB2312"/>
          <w:color w:val="auto"/>
          <w:sz w:val="24"/>
          <w:szCs w:val="24"/>
          <w:highlight w:val="none"/>
          <w:u w:val="single"/>
        </w:rPr>
        <w:t>（全称并加盖成员**的单位公章）</w:t>
      </w:r>
    </w:p>
    <w:p w14:paraId="09249CB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法定代表人或其委托代理人：</w:t>
      </w:r>
      <w:r>
        <w:rPr>
          <w:rFonts w:ascii="仿宋_GB2312" w:hAnsi="仿宋_GB2312" w:eastAsia="仿宋_GB2312" w:cs="仿宋_GB2312"/>
          <w:color w:val="auto"/>
          <w:sz w:val="24"/>
          <w:szCs w:val="24"/>
          <w:highlight w:val="none"/>
          <w:u w:val="single"/>
        </w:rPr>
        <w:t xml:space="preserve"> （签字或盖章）</w:t>
      </w:r>
    </w:p>
    <w:p w14:paraId="18BDB683">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签署日期：</w:t>
      </w:r>
      <w:r>
        <w:rPr>
          <w:rFonts w:ascii="仿宋_GB2312" w:hAnsi="仿宋_GB2312" w:eastAsia="仿宋_GB2312" w:cs="仿宋_GB2312"/>
          <w:color w:val="auto"/>
          <w:sz w:val="24"/>
          <w:szCs w:val="24"/>
          <w:highlight w:val="none"/>
          <w:u w:val="single"/>
        </w:rPr>
        <w:t>　　年　　月　　日</w:t>
      </w:r>
    </w:p>
    <w:p w14:paraId="4C32E8A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0C6D95D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1、招标文件接受联合体投标且投标人为联合体的，投标人应提供本协议；否则无须提供。</w:t>
      </w:r>
    </w:p>
    <w:p w14:paraId="59CC264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2、本协议由委托代理人签字或盖章的，应按照本章载明的格式提供“单位授权书”。</w:t>
      </w:r>
    </w:p>
    <w:p w14:paraId="49CAFDC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3、在以联合体形式落实中小企业预留份额项目中，投标人除了要提供《中小企业声明函》，还需提供本协议。</w:t>
      </w:r>
    </w:p>
    <w:p w14:paraId="0A51DBEB">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3469EB23">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二-6分包意向协议（若有）</w:t>
      </w:r>
    </w:p>
    <w:p w14:paraId="746C0116">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甲方（总包方）：</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（即本项目的投标人）</w:t>
      </w:r>
    </w:p>
    <w:p w14:paraId="3E114E44">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乙方（分包方）：</w:t>
      </w:r>
      <w:r>
        <w:rPr>
          <w:rFonts w:ascii="仿宋_GB2312" w:hAnsi="仿宋_GB2312" w:eastAsia="仿宋_GB2312" w:cs="仿宋_GB2312"/>
          <w:color w:val="auto"/>
          <w:sz w:val="24"/>
          <w:szCs w:val="24"/>
          <w:highlight w:val="none"/>
          <w:u w:val="single"/>
        </w:rPr>
        <w:t>　　　　　　　</w:t>
      </w:r>
    </w:p>
    <w:p w14:paraId="50B9401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兹有甲方参加</w:t>
      </w:r>
      <w:r>
        <w:rPr>
          <w:rFonts w:ascii="仿宋_GB2312" w:hAnsi="仿宋_GB2312" w:eastAsia="仿宋_GB2312" w:cs="仿宋_GB2312"/>
          <w:color w:val="auto"/>
          <w:sz w:val="24"/>
          <w:szCs w:val="24"/>
          <w:highlight w:val="none"/>
          <w:u w:val="single"/>
        </w:rPr>
        <w:t>（填写“项目名称”）</w:t>
      </w:r>
      <w:r>
        <w:rPr>
          <w:rFonts w:ascii="仿宋_GB2312" w:hAnsi="仿宋_GB2312" w:eastAsia="仿宋_GB2312" w:cs="仿宋_GB2312"/>
          <w:color w:val="auto"/>
          <w:sz w:val="24"/>
          <w:szCs w:val="24"/>
          <w:highlight w:val="none"/>
        </w:rPr>
        <w:t xml:space="preserve"> 项目（项目编号：</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55E6008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一、分包标的</w:t>
      </w:r>
    </w:p>
    <w:p w14:paraId="0E3F91B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u w:val="single"/>
        </w:rPr>
        <w:t>（根据双方的意向填写，可以是表格或文字描述）。</w:t>
      </w:r>
    </w:p>
    <w:p w14:paraId="79E2FA6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二、分包合同金额占比</w:t>
      </w:r>
    </w:p>
    <w:p w14:paraId="23EED30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分包合同价占投标总价的比例：</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w:t>
      </w:r>
    </w:p>
    <w:p w14:paraId="5AD2866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三、其他条款</w:t>
      </w:r>
    </w:p>
    <w:p w14:paraId="0CEC461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54F0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EFBFCE">
            <w:pPr>
              <w:pStyle w:val="11"/>
              <w:jc w:val="left"/>
              <w:rPr>
                <w:color w:val="auto"/>
                <w:sz w:val="24"/>
                <w:szCs w:val="24"/>
                <w:highlight w:val="none"/>
              </w:rPr>
            </w:pPr>
            <w:r>
              <w:rPr>
                <w:rFonts w:ascii="仿宋_GB2312" w:hAnsi="仿宋_GB2312" w:eastAsia="仿宋_GB2312" w:cs="仿宋_GB2312"/>
                <w:color w:val="auto"/>
                <w:sz w:val="24"/>
                <w:szCs w:val="24"/>
                <w:highlight w:val="none"/>
              </w:rPr>
              <w:t>甲方：</w:t>
            </w:r>
          </w:p>
        </w:tc>
        <w:tc>
          <w:tcPr>
            <w:tcW w:w="4153" w:type="dxa"/>
          </w:tcPr>
          <w:p w14:paraId="75C9B9B0">
            <w:pPr>
              <w:pStyle w:val="11"/>
              <w:jc w:val="left"/>
              <w:rPr>
                <w:color w:val="auto"/>
                <w:sz w:val="24"/>
                <w:szCs w:val="24"/>
                <w:highlight w:val="none"/>
              </w:rPr>
            </w:pPr>
            <w:r>
              <w:rPr>
                <w:rFonts w:ascii="仿宋_GB2312" w:hAnsi="仿宋_GB2312" w:eastAsia="仿宋_GB2312" w:cs="仿宋_GB2312"/>
                <w:color w:val="auto"/>
                <w:sz w:val="24"/>
                <w:szCs w:val="24"/>
                <w:highlight w:val="none"/>
              </w:rPr>
              <w:t>乙方：</w:t>
            </w:r>
          </w:p>
        </w:tc>
      </w:tr>
      <w:tr w14:paraId="47E43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BFAE65">
            <w:pPr>
              <w:pStyle w:val="11"/>
              <w:jc w:val="left"/>
              <w:rPr>
                <w:color w:val="auto"/>
                <w:sz w:val="24"/>
                <w:szCs w:val="24"/>
                <w:highlight w:val="none"/>
              </w:rPr>
            </w:pPr>
            <w:r>
              <w:rPr>
                <w:rFonts w:ascii="仿宋_GB2312" w:hAnsi="仿宋_GB2312" w:eastAsia="仿宋_GB2312" w:cs="仿宋_GB2312"/>
                <w:color w:val="auto"/>
                <w:sz w:val="24"/>
                <w:szCs w:val="24"/>
                <w:highlight w:val="none"/>
              </w:rPr>
              <w:t>住所：</w:t>
            </w:r>
          </w:p>
        </w:tc>
        <w:tc>
          <w:tcPr>
            <w:tcW w:w="4153" w:type="dxa"/>
          </w:tcPr>
          <w:p w14:paraId="09B4D7C5">
            <w:pPr>
              <w:pStyle w:val="11"/>
              <w:jc w:val="left"/>
              <w:rPr>
                <w:color w:val="auto"/>
                <w:sz w:val="24"/>
                <w:szCs w:val="24"/>
                <w:highlight w:val="none"/>
              </w:rPr>
            </w:pPr>
            <w:r>
              <w:rPr>
                <w:rFonts w:ascii="仿宋_GB2312" w:hAnsi="仿宋_GB2312" w:eastAsia="仿宋_GB2312" w:cs="仿宋_GB2312"/>
                <w:color w:val="auto"/>
                <w:sz w:val="24"/>
                <w:szCs w:val="24"/>
                <w:highlight w:val="none"/>
              </w:rPr>
              <w:t>住所：</w:t>
            </w:r>
          </w:p>
        </w:tc>
      </w:tr>
      <w:tr w14:paraId="228CA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5D1FB3">
            <w:pPr>
              <w:pStyle w:val="11"/>
              <w:jc w:val="left"/>
              <w:rPr>
                <w:color w:val="auto"/>
                <w:sz w:val="24"/>
                <w:szCs w:val="24"/>
                <w:highlight w:val="none"/>
              </w:rPr>
            </w:pPr>
            <w:r>
              <w:rPr>
                <w:rFonts w:ascii="仿宋_GB2312" w:hAnsi="仿宋_GB2312" w:eastAsia="仿宋_GB2312" w:cs="仿宋_GB2312"/>
                <w:color w:val="auto"/>
                <w:sz w:val="24"/>
                <w:szCs w:val="24"/>
                <w:highlight w:val="none"/>
              </w:rPr>
              <w:t>单位负责人或委托代理人：</w:t>
            </w:r>
          </w:p>
        </w:tc>
        <w:tc>
          <w:tcPr>
            <w:tcW w:w="4153" w:type="dxa"/>
          </w:tcPr>
          <w:p w14:paraId="478F51AF">
            <w:pPr>
              <w:pStyle w:val="11"/>
              <w:jc w:val="left"/>
              <w:rPr>
                <w:color w:val="auto"/>
                <w:sz w:val="24"/>
                <w:szCs w:val="24"/>
                <w:highlight w:val="none"/>
              </w:rPr>
            </w:pPr>
            <w:r>
              <w:rPr>
                <w:rFonts w:ascii="仿宋_GB2312" w:hAnsi="仿宋_GB2312" w:eastAsia="仿宋_GB2312" w:cs="仿宋_GB2312"/>
                <w:color w:val="auto"/>
                <w:sz w:val="24"/>
                <w:szCs w:val="24"/>
                <w:highlight w:val="none"/>
              </w:rPr>
              <w:t>单位负责人或委托代理人：</w:t>
            </w:r>
          </w:p>
        </w:tc>
      </w:tr>
      <w:tr w14:paraId="16630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6F1BC4">
            <w:pPr>
              <w:pStyle w:val="11"/>
              <w:jc w:val="left"/>
              <w:rPr>
                <w:color w:val="auto"/>
                <w:sz w:val="24"/>
                <w:szCs w:val="24"/>
                <w:highlight w:val="none"/>
              </w:rPr>
            </w:pPr>
            <w:r>
              <w:rPr>
                <w:rFonts w:ascii="仿宋_GB2312" w:hAnsi="仿宋_GB2312" w:eastAsia="仿宋_GB2312" w:cs="仿宋_GB2312"/>
                <w:color w:val="auto"/>
                <w:sz w:val="24"/>
                <w:szCs w:val="24"/>
                <w:highlight w:val="none"/>
              </w:rPr>
              <w:t>联系方法：</w:t>
            </w:r>
          </w:p>
        </w:tc>
        <w:tc>
          <w:tcPr>
            <w:tcW w:w="4153" w:type="dxa"/>
          </w:tcPr>
          <w:p w14:paraId="52098021">
            <w:pPr>
              <w:pStyle w:val="11"/>
              <w:jc w:val="left"/>
              <w:rPr>
                <w:color w:val="auto"/>
                <w:sz w:val="24"/>
                <w:szCs w:val="24"/>
                <w:highlight w:val="none"/>
              </w:rPr>
            </w:pPr>
            <w:r>
              <w:rPr>
                <w:rFonts w:ascii="仿宋_GB2312" w:hAnsi="仿宋_GB2312" w:eastAsia="仿宋_GB2312" w:cs="仿宋_GB2312"/>
                <w:color w:val="auto"/>
                <w:sz w:val="24"/>
                <w:szCs w:val="24"/>
                <w:highlight w:val="none"/>
              </w:rPr>
              <w:t>联系方法：</w:t>
            </w:r>
          </w:p>
        </w:tc>
      </w:tr>
      <w:tr w14:paraId="71017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B865AA">
            <w:pPr>
              <w:pStyle w:val="11"/>
              <w:jc w:val="left"/>
              <w:rPr>
                <w:color w:val="auto"/>
                <w:sz w:val="24"/>
                <w:szCs w:val="24"/>
                <w:highlight w:val="none"/>
              </w:rPr>
            </w:pPr>
            <w:r>
              <w:rPr>
                <w:rFonts w:ascii="仿宋_GB2312" w:hAnsi="仿宋_GB2312" w:eastAsia="仿宋_GB2312" w:cs="仿宋_GB2312"/>
                <w:color w:val="auto"/>
                <w:sz w:val="24"/>
                <w:szCs w:val="24"/>
                <w:highlight w:val="none"/>
              </w:rPr>
              <w:t>开户银行：</w:t>
            </w:r>
          </w:p>
        </w:tc>
        <w:tc>
          <w:tcPr>
            <w:tcW w:w="4153" w:type="dxa"/>
          </w:tcPr>
          <w:p w14:paraId="493C2ACE">
            <w:pPr>
              <w:pStyle w:val="11"/>
              <w:jc w:val="left"/>
              <w:rPr>
                <w:color w:val="auto"/>
                <w:sz w:val="24"/>
                <w:szCs w:val="24"/>
                <w:highlight w:val="none"/>
              </w:rPr>
            </w:pPr>
            <w:r>
              <w:rPr>
                <w:rFonts w:ascii="仿宋_GB2312" w:hAnsi="仿宋_GB2312" w:eastAsia="仿宋_GB2312" w:cs="仿宋_GB2312"/>
                <w:color w:val="auto"/>
                <w:sz w:val="24"/>
                <w:szCs w:val="24"/>
                <w:highlight w:val="none"/>
              </w:rPr>
              <w:t>开户银行：</w:t>
            </w:r>
          </w:p>
        </w:tc>
      </w:tr>
      <w:tr w14:paraId="432D1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EA33DB">
            <w:pPr>
              <w:pStyle w:val="11"/>
              <w:jc w:val="left"/>
              <w:rPr>
                <w:color w:val="auto"/>
                <w:sz w:val="24"/>
                <w:szCs w:val="24"/>
                <w:highlight w:val="none"/>
              </w:rPr>
            </w:pPr>
            <w:r>
              <w:rPr>
                <w:rFonts w:ascii="仿宋_GB2312" w:hAnsi="仿宋_GB2312" w:eastAsia="仿宋_GB2312" w:cs="仿宋_GB2312"/>
                <w:color w:val="auto"/>
                <w:sz w:val="24"/>
                <w:szCs w:val="24"/>
                <w:highlight w:val="none"/>
              </w:rPr>
              <w:t>账号：</w:t>
            </w:r>
          </w:p>
        </w:tc>
        <w:tc>
          <w:tcPr>
            <w:tcW w:w="4153" w:type="dxa"/>
          </w:tcPr>
          <w:p w14:paraId="42E125C8">
            <w:pPr>
              <w:pStyle w:val="11"/>
              <w:jc w:val="left"/>
              <w:rPr>
                <w:color w:val="auto"/>
                <w:sz w:val="24"/>
                <w:szCs w:val="24"/>
                <w:highlight w:val="none"/>
              </w:rPr>
            </w:pPr>
            <w:r>
              <w:rPr>
                <w:rFonts w:ascii="仿宋_GB2312" w:hAnsi="仿宋_GB2312" w:eastAsia="仿宋_GB2312" w:cs="仿宋_GB2312"/>
                <w:color w:val="auto"/>
                <w:sz w:val="24"/>
                <w:szCs w:val="24"/>
                <w:highlight w:val="none"/>
              </w:rPr>
              <w:t>账号：</w:t>
            </w:r>
          </w:p>
        </w:tc>
      </w:tr>
      <w:tr w14:paraId="56088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9258842">
            <w:pPr>
              <w:pStyle w:val="11"/>
              <w:ind w:firstLine="960"/>
              <w:jc w:val="right"/>
              <w:rPr>
                <w:color w:val="auto"/>
                <w:sz w:val="24"/>
                <w:szCs w:val="24"/>
                <w:highlight w:val="none"/>
              </w:rPr>
            </w:pPr>
            <w:r>
              <w:rPr>
                <w:rFonts w:ascii="仿宋_GB2312" w:hAnsi="仿宋_GB2312" w:eastAsia="仿宋_GB2312" w:cs="仿宋_GB2312"/>
                <w:color w:val="auto"/>
                <w:sz w:val="24"/>
                <w:szCs w:val="24"/>
                <w:highlight w:val="none"/>
              </w:rPr>
              <w:t>签订地点：</w:t>
            </w:r>
            <w:r>
              <w:rPr>
                <w:rFonts w:ascii="仿宋_GB2312" w:hAnsi="仿宋_GB2312" w:eastAsia="仿宋_GB2312" w:cs="仿宋_GB2312"/>
                <w:color w:val="auto"/>
                <w:sz w:val="24"/>
                <w:szCs w:val="24"/>
                <w:highlight w:val="none"/>
                <w:u w:val="single"/>
              </w:rPr>
              <w:t>　　　　　　　　　　</w:t>
            </w:r>
          </w:p>
          <w:p w14:paraId="3911EE48">
            <w:pPr>
              <w:pStyle w:val="11"/>
              <w:ind w:firstLine="960"/>
              <w:jc w:val="right"/>
              <w:rPr>
                <w:color w:val="auto"/>
                <w:sz w:val="24"/>
                <w:szCs w:val="24"/>
                <w:highlight w:val="none"/>
              </w:rPr>
            </w:pPr>
            <w:r>
              <w:rPr>
                <w:rFonts w:ascii="仿宋_GB2312" w:hAnsi="仿宋_GB2312" w:eastAsia="仿宋_GB2312" w:cs="仿宋_GB2312"/>
                <w:color w:val="auto"/>
                <w:sz w:val="24"/>
                <w:szCs w:val="24"/>
                <w:highlight w:val="none"/>
              </w:rPr>
              <w:t>签约日期：</w:t>
            </w:r>
            <w:r>
              <w:rPr>
                <w:rFonts w:ascii="仿宋_GB2312" w:hAnsi="仿宋_GB2312" w:eastAsia="仿宋_GB2312" w:cs="仿宋_GB2312"/>
                <w:color w:val="auto"/>
                <w:sz w:val="24"/>
                <w:szCs w:val="24"/>
                <w:highlight w:val="none"/>
                <w:u w:val="single"/>
              </w:rPr>
              <w:t>　　年　　月　　日</w:t>
            </w:r>
          </w:p>
        </w:tc>
      </w:tr>
    </w:tbl>
    <w:p w14:paraId="524ACB5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71E1A20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1.招标文件接受合同分包且投标人拟将合同分包的，应提供本协议；否则无须提供。</w:t>
      </w:r>
    </w:p>
    <w:p w14:paraId="1500ED1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2.本协议由委托代理人签字或盖章的，应按照本章载明的格式提供“单位授权书”。</w:t>
      </w:r>
    </w:p>
    <w:p w14:paraId="6F0E5DA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3.在以合同分包形式落实中小企业预留份额项目中，投标人除了要提供《中小企业声明函》，还需提供本协议。</w:t>
      </w:r>
    </w:p>
    <w:p w14:paraId="46178880">
      <w:pPr>
        <w:pStyle w:val="11"/>
        <w:ind w:firstLine="96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71132991">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二-7其他资格证明文件（若有）</w:t>
      </w:r>
    </w:p>
    <w:p w14:paraId="31B855E7">
      <w:pPr>
        <w:pStyle w:val="11"/>
        <w:ind w:firstLine="960"/>
        <w:jc w:val="center"/>
        <w:outlineLvl w:val="3"/>
        <w:rPr>
          <w:color w:val="auto"/>
          <w:sz w:val="24"/>
          <w:szCs w:val="24"/>
          <w:highlight w:val="none"/>
        </w:rPr>
      </w:pPr>
      <w:r>
        <w:rPr>
          <w:rFonts w:ascii="仿宋_GB2312" w:hAnsi="仿宋_GB2312" w:eastAsia="仿宋_GB2312" w:cs="仿宋_GB2312"/>
          <w:b/>
          <w:color w:val="auto"/>
          <w:sz w:val="24"/>
          <w:szCs w:val="24"/>
          <w:highlight w:val="none"/>
        </w:rPr>
        <w:t>二-7-①招标文件规定的其他资格证明文件（若有）</w:t>
      </w:r>
    </w:p>
    <w:p w14:paraId="3AF1B1EC">
      <w:pPr>
        <w:pStyle w:val="11"/>
        <w:ind w:firstLine="480"/>
        <w:jc w:val="center"/>
        <w:rPr>
          <w:color w:val="auto"/>
          <w:sz w:val="24"/>
          <w:szCs w:val="24"/>
          <w:highlight w:val="none"/>
        </w:rPr>
      </w:pPr>
      <w:r>
        <w:rPr>
          <w:rFonts w:ascii="仿宋_GB2312" w:hAnsi="仿宋_GB2312" w:eastAsia="仿宋_GB2312" w:cs="仿宋_GB2312"/>
          <w:color w:val="auto"/>
          <w:sz w:val="24"/>
          <w:szCs w:val="24"/>
          <w:highlight w:val="none"/>
        </w:rPr>
        <w:t>编制说明</w:t>
      </w:r>
    </w:p>
    <w:p w14:paraId="6838AA8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除招标文件另有规定外，招标文件要求提交的除前述资格证明文件外的其他资格证明文件（若有）加盖投标人的单位公章后应在此项下提交。</w:t>
      </w:r>
    </w:p>
    <w:p w14:paraId="7C8E74E8">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69177619">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三、投标保证金</w:t>
      </w:r>
    </w:p>
    <w:p w14:paraId="32EEA8F5">
      <w:pPr>
        <w:pStyle w:val="11"/>
        <w:ind w:firstLine="480"/>
        <w:jc w:val="center"/>
        <w:rPr>
          <w:color w:val="auto"/>
          <w:sz w:val="24"/>
          <w:szCs w:val="24"/>
          <w:highlight w:val="none"/>
        </w:rPr>
      </w:pPr>
      <w:r>
        <w:rPr>
          <w:rFonts w:ascii="仿宋_GB2312" w:hAnsi="仿宋_GB2312" w:eastAsia="仿宋_GB2312" w:cs="仿宋_GB2312"/>
          <w:color w:val="auto"/>
          <w:sz w:val="24"/>
          <w:szCs w:val="24"/>
          <w:highlight w:val="none"/>
        </w:rPr>
        <w:t>编制说明</w:t>
      </w:r>
    </w:p>
    <w:p w14:paraId="0860AB7E">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1、在此项下提交的“投标保证金”材料可使用转账凭证复印件或从福建省政府采购网上公开信息系统中下载的有关原始页面的打印件。</w:t>
      </w:r>
    </w:p>
    <w:p w14:paraId="42F573A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2、投标保证金是否已提交的认定按照招标文件第三章规定执行。</w:t>
      </w:r>
    </w:p>
    <w:p w14:paraId="23263DEE">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5C5B7A4F">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封面格式(报价部分)</w:t>
      </w:r>
    </w:p>
    <w:p w14:paraId="58B99321">
      <w:pPr>
        <w:pStyle w:val="11"/>
        <w:jc w:val="center"/>
        <w:outlineLvl w:val="0"/>
        <w:rPr>
          <w:color w:val="auto"/>
          <w:sz w:val="24"/>
          <w:szCs w:val="24"/>
          <w:highlight w:val="none"/>
        </w:rPr>
      </w:pPr>
      <w:r>
        <w:rPr>
          <w:rFonts w:ascii="仿宋_GB2312" w:hAnsi="仿宋_GB2312" w:eastAsia="仿宋_GB2312" w:cs="仿宋_GB2312"/>
          <w:b/>
          <w:color w:val="auto"/>
          <w:sz w:val="24"/>
          <w:szCs w:val="24"/>
          <w:highlight w:val="none"/>
        </w:rPr>
        <w:t>福建省政府采购投标文件</w:t>
      </w:r>
    </w:p>
    <w:p w14:paraId="20C94099">
      <w:pPr>
        <w:pStyle w:val="11"/>
        <w:jc w:val="center"/>
        <w:outlineLvl w:val="0"/>
        <w:rPr>
          <w:color w:val="auto"/>
          <w:sz w:val="24"/>
          <w:szCs w:val="24"/>
          <w:highlight w:val="none"/>
        </w:rPr>
      </w:pPr>
      <w:r>
        <w:rPr>
          <w:rFonts w:ascii="仿宋_GB2312" w:hAnsi="仿宋_GB2312" w:eastAsia="仿宋_GB2312" w:cs="仿宋_GB2312"/>
          <w:b/>
          <w:color w:val="auto"/>
          <w:sz w:val="24"/>
          <w:szCs w:val="24"/>
          <w:highlight w:val="none"/>
        </w:rPr>
        <w:t>（报价部分）</w:t>
      </w:r>
      <w:r>
        <w:rPr>
          <w:color w:val="auto"/>
          <w:sz w:val="24"/>
          <w:szCs w:val="24"/>
          <w:highlight w:val="none"/>
        </w:rPr>
        <w:br w:type="textWrapping"/>
      </w:r>
      <w:r>
        <w:rPr>
          <w:color w:val="auto"/>
          <w:sz w:val="24"/>
          <w:szCs w:val="24"/>
          <w:highlight w:val="none"/>
        </w:rPr>
        <w:br w:type="textWrapping"/>
      </w:r>
    </w:p>
    <w:p w14:paraId="0A548864">
      <w:pPr>
        <w:pStyle w:val="11"/>
        <w:jc w:val="center"/>
        <w:outlineLvl w:val="1"/>
        <w:rPr>
          <w:color w:val="auto"/>
          <w:sz w:val="24"/>
          <w:szCs w:val="24"/>
          <w:highlight w:val="none"/>
        </w:rPr>
      </w:pPr>
      <w:r>
        <w:rPr>
          <w:rFonts w:ascii="仿宋_GB2312" w:hAnsi="仿宋_GB2312" w:eastAsia="仿宋_GB2312" w:cs="仿宋_GB2312"/>
          <w:b/>
          <w:color w:val="auto"/>
          <w:sz w:val="24"/>
          <w:szCs w:val="24"/>
          <w:highlight w:val="none"/>
        </w:rPr>
        <w:t>（填写正本或副本）</w:t>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p>
    <w:p w14:paraId="02A6F428">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项目名称：（由投标人填写）</w:t>
      </w:r>
    </w:p>
    <w:p w14:paraId="1BA69C9B">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备案编号：（由投标人填写）</w:t>
      </w:r>
    </w:p>
    <w:p w14:paraId="74579AC5">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项目编号：（由投标人填写）</w:t>
      </w:r>
    </w:p>
    <w:p w14:paraId="62397286">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所投采购包：（由投标人填写）</w:t>
      </w:r>
    </w:p>
    <w:p w14:paraId="042187BF">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投标人：（填写“全称”）</w:t>
      </w:r>
    </w:p>
    <w:p w14:paraId="1FFEB735">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（由投标人填写）年（由投标人填写）月</w:t>
      </w:r>
    </w:p>
    <w:p w14:paraId="3D2E105B">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3478C660">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索引</w:t>
      </w:r>
    </w:p>
    <w:p w14:paraId="5E65BBA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一、开标（报价）一览表</w:t>
      </w:r>
    </w:p>
    <w:p w14:paraId="297EDFA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二、投标（响应）报价明细表</w:t>
      </w:r>
    </w:p>
    <w:p w14:paraId="0813B7F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三、招标文件规定的价格扣除证明材料（若有）</w:t>
      </w:r>
    </w:p>
    <w:p w14:paraId="7ACA2EC6">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4377C547">
      <w:pPr>
        <w:pStyle w:val="11"/>
        <w:jc w:val="left"/>
        <w:outlineLvl w:val="0"/>
        <w:rPr>
          <w:color w:val="auto"/>
          <w:sz w:val="24"/>
          <w:szCs w:val="24"/>
          <w:highlight w:val="none"/>
        </w:rPr>
      </w:pPr>
      <w:r>
        <w:rPr>
          <w:rFonts w:ascii="仿宋_GB2312" w:hAnsi="仿宋_GB2312" w:eastAsia="仿宋_GB2312" w:cs="仿宋_GB2312"/>
          <w:b/>
          <w:color w:val="auto"/>
          <w:sz w:val="24"/>
          <w:szCs w:val="24"/>
          <w:highlight w:val="none"/>
        </w:rPr>
        <w:t>开标（报价）一览表</w:t>
      </w:r>
    </w:p>
    <w:p w14:paraId="33F02AD4">
      <w:pPr>
        <w:pStyle w:val="11"/>
        <w:ind w:right="1650"/>
        <w:jc w:val="left"/>
        <w:rPr>
          <w:color w:val="auto"/>
          <w:sz w:val="24"/>
          <w:szCs w:val="24"/>
          <w:highlight w:val="none"/>
        </w:rPr>
      </w:pPr>
      <w:r>
        <w:rPr>
          <w:rFonts w:ascii="仿宋_GB2312" w:hAnsi="仿宋_GB2312" w:eastAsia="仿宋_GB2312" w:cs="仿宋_GB2312"/>
          <w:color w:val="auto"/>
          <w:sz w:val="24"/>
          <w:szCs w:val="24"/>
          <w:highlight w:val="none"/>
        </w:rPr>
        <w:t>项目编号：[350201]wx[GK]2026003</w:t>
      </w:r>
    </w:p>
    <w:p w14:paraId="299FF63B">
      <w:pPr>
        <w:pStyle w:val="11"/>
        <w:spacing w:line="375" w:lineRule="exact"/>
        <w:jc w:val="left"/>
        <w:rPr>
          <w:rFonts w:hint="eastAsia" w:eastAsia="仿宋_GB2312"/>
          <w:color w:val="auto"/>
          <w:sz w:val="24"/>
          <w:szCs w:val="24"/>
          <w:highlight w:val="none"/>
          <w:lang w:eastAsia="zh-CN"/>
        </w:rPr>
      </w:pPr>
      <w:r>
        <w:rPr>
          <w:rFonts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eastAsia="zh-CN"/>
        </w:rPr>
        <w:t>2026年新美街道农村一体化保洁</w:t>
      </w:r>
    </w:p>
    <w:p w14:paraId="06E156BA">
      <w:pPr>
        <w:pStyle w:val="11"/>
        <w:spacing w:line="375" w:lineRule="exact"/>
        <w:jc w:val="left"/>
        <w:rPr>
          <w:color w:val="auto"/>
          <w:sz w:val="24"/>
          <w:szCs w:val="24"/>
          <w:highlight w:val="none"/>
        </w:rPr>
      </w:pPr>
      <w:r>
        <w:rPr>
          <w:rFonts w:ascii="仿宋_GB2312" w:hAnsi="仿宋_GB2312" w:eastAsia="仿宋_GB2312" w:cs="仿宋_GB2312"/>
          <w:color w:val="auto"/>
          <w:sz w:val="24"/>
          <w:szCs w:val="24"/>
          <w:highlight w:val="none"/>
        </w:rPr>
        <w:t>采购包：1(</w:t>
      </w:r>
      <w:r>
        <w:rPr>
          <w:rFonts w:hint="eastAsia" w:ascii="仿宋_GB2312" w:hAnsi="仿宋_GB2312" w:eastAsia="仿宋_GB2312" w:cs="仿宋_GB2312"/>
          <w:color w:val="auto"/>
          <w:sz w:val="24"/>
          <w:szCs w:val="24"/>
          <w:highlight w:val="none"/>
          <w:lang w:eastAsia="zh-CN"/>
        </w:rPr>
        <w:t>2026年新美街道农村一体化保洁</w:t>
      </w:r>
      <w:r>
        <w:rPr>
          <w:rFonts w:ascii="仿宋_GB2312" w:hAnsi="仿宋_GB2312" w:eastAsia="仿宋_GB2312" w:cs="仿宋_GB2312"/>
          <w:color w:val="auto"/>
          <w:sz w:val="24"/>
          <w:szCs w:val="24"/>
          <w:highlight w:val="none"/>
        </w:rPr>
        <w:t>)</w:t>
      </w:r>
    </w:p>
    <w:p w14:paraId="303E86C3">
      <w:pPr>
        <w:pStyle w:val="11"/>
        <w:spacing w:line="375" w:lineRule="exact"/>
        <w:jc w:val="left"/>
        <w:rPr>
          <w:color w:val="auto"/>
          <w:sz w:val="24"/>
          <w:szCs w:val="24"/>
          <w:highlight w:val="none"/>
        </w:rPr>
      </w:pPr>
      <w:r>
        <w:rPr>
          <w:rFonts w:ascii="仿宋_GB2312" w:hAnsi="仿宋_GB2312" w:eastAsia="仿宋_GB2312" w:cs="仿宋_GB2312"/>
          <w:color w:val="auto"/>
          <w:sz w:val="24"/>
          <w:szCs w:val="24"/>
          <w:highlight w:val="none"/>
        </w:rPr>
        <w:t>投标人（供应商）名称：</w:t>
      </w:r>
    </w:p>
    <w:p w14:paraId="5DBAA2CF">
      <w:pPr>
        <w:pStyle w:val="11"/>
        <w:jc w:val="center"/>
        <w:rPr>
          <w:color w:val="auto"/>
          <w:sz w:val="24"/>
          <w:szCs w:val="24"/>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EE4C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0D38C2C9">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序号</w:t>
            </w:r>
          </w:p>
        </w:tc>
        <w:tc>
          <w:tcPr>
            <w:tcW w:w="1661" w:type="dxa"/>
          </w:tcPr>
          <w:p w14:paraId="7D9266FA">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报价内容</w:t>
            </w:r>
          </w:p>
        </w:tc>
        <w:tc>
          <w:tcPr>
            <w:tcW w:w="1661" w:type="dxa"/>
          </w:tcPr>
          <w:p w14:paraId="242308D0">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最高限价</w:t>
            </w:r>
          </w:p>
        </w:tc>
        <w:tc>
          <w:tcPr>
            <w:tcW w:w="1661" w:type="dxa"/>
          </w:tcPr>
          <w:p w14:paraId="3AB216EA">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响应报价</w:t>
            </w:r>
          </w:p>
        </w:tc>
        <w:tc>
          <w:tcPr>
            <w:tcW w:w="1661" w:type="dxa"/>
          </w:tcPr>
          <w:p w14:paraId="47601681">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价款形式</w:t>
            </w:r>
          </w:p>
        </w:tc>
      </w:tr>
      <w:tr w14:paraId="5C89B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25CCF2">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1</w:t>
            </w:r>
          </w:p>
        </w:tc>
        <w:tc>
          <w:tcPr>
            <w:tcW w:w="1661" w:type="dxa"/>
          </w:tcPr>
          <w:p w14:paraId="75457261">
            <w:pPr>
              <w:pStyle w:val="11"/>
              <w:jc w:val="left"/>
              <w:rPr>
                <w:rFonts w:hint="eastAsia" w:eastAsia="仿宋_GB2312"/>
                <w:color w:val="auto"/>
                <w:sz w:val="24"/>
                <w:szCs w:val="24"/>
                <w:highlight w:val="none"/>
                <w:lang w:eastAsia="zh-CN"/>
              </w:rPr>
            </w:pP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2026年新美街道农村一体化保洁</w:t>
            </w:r>
          </w:p>
        </w:tc>
        <w:tc>
          <w:tcPr>
            <w:tcW w:w="1661" w:type="dxa"/>
          </w:tcPr>
          <w:p w14:paraId="592C9F47">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4000000  元</w:t>
            </w:r>
          </w:p>
        </w:tc>
        <w:tc>
          <w:tcPr>
            <w:tcW w:w="1661" w:type="dxa"/>
          </w:tcPr>
          <w:p w14:paraId="2149DCBF">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「汇总引用」  元</w:t>
            </w:r>
          </w:p>
        </w:tc>
        <w:tc>
          <w:tcPr>
            <w:tcW w:w="1661" w:type="dxa"/>
          </w:tcPr>
          <w:p w14:paraId="152F671F">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总价</w:t>
            </w:r>
          </w:p>
        </w:tc>
      </w:tr>
    </w:tbl>
    <w:p w14:paraId="06AF1392">
      <w:pPr>
        <w:pStyle w:val="11"/>
        <w:jc w:val="left"/>
        <w:rPr>
          <w:color w:val="auto"/>
          <w:sz w:val="24"/>
          <w:szCs w:val="24"/>
          <w:highlight w:val="none"/>
        </w:rPr>
      </w:pPr>
      <w:r>
        <w:rPr>
          <w:rFonts w:ascii="仿宋_GB2312" w:hAnsi="仿宋_GB2312" w:eastAsia="仿宋_GB2312" w:cs="仿宋_GB2312"/>
          <w:color w:val="auto"/>
          <w:sz w:val="24"/>
          <w:szCs w:val="24"/>
          <w:highlight w:val="none"/>
        </w:rPr>
        <w:t>备注：无</w:t>
      </w:r>
    </w:p>
    <w:p w14:paraId="0897B49C">
      <w:pPr>
        <w:pStyle w:val="11"/>
        <w:jc w:val="left"/>
        <w:rPr>
          <w:color w:val="auto"/>
          <w:sz w:val="24"/>
          <w:szCs w:val="24"/>
          <w:highlight w:val="none"/>
        </w:rPr>
      </w:pPr>
      <w:r>
        <w:rPr>
          <w:rFonts w:ascii="仿宋_GB2312" w:hAnsi="仿宋_GB2312" w:eastAsia="仿宋_GB2312" w:cs="仿宋_GB2312"/>
          <w:color w:val="auto"/>
          <w:sz w:val="24"/>
          <w:szCs w:val="24"/>
          <w:highlight w:val="none"/>
        </w:rPr>
        <w:t>时间：     年     月     日</w:t>
      </w:r>
    </w:p>
    <w:p w14:paraId="2C84CF2C">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签章：                     </w:t>
      </w:r>
    </w:p>
    <w:p w14:paraId="7BB69990">
      <w:pPr>
        <w:pStyle w:val="11"/>
        <w:jc w:val="left"/>
        <w:outlineLvl w:val="0"/>
        <w:rPr>
          <w:color w:val="auto"/>
          <w:sz w:val="24"/>
          <w:szCs w:val="24"/>
          <w:highlight w:val="none"/>
        </w:rPr>
      </w:pPr>
      <w:r>
        <w:rPr>
          <w:rFonts w:ascii="仿宋_GB2312" w:hAnsi="仿宋_GB2312" w:eastAsia="仿宋_GB2312" w:cs="仿宋_GB2312"/>
          <w:b/>
          <w:color w:val="auto"/>
          <w:sz w:val="24"/>
          <w:szCs w:val="24"/>
          <w:highlight w:val="none"/>
        </w:rPr>
        <w:t>投标（响应）报价明细表</w:t>
      </w:r>
    </w:p>
    <w:p w14:paraId="2A5469AC">
      <w:pPr>
        <w:pStyle w:val="11"/>
        <w:jc w:val="left"/>
        <w:rPr>
          <w:color w:val="auto"/>
          <w:sz w:val="24"/>
          <w:szCs w:val="24"/>
          <w:highlight w:val="none"/>
        </w:rPr>
      </w:pPr>
      <w:r>
        <w:rPr>
          <w:rFonts w:ascii="仿宋_GB2312" w:hAnsi="仿宋_GB2312" w:eastAsia="仿宋_GB2312" w:cs="仿宋_GB2312"/>
          <w:color w:val="auto"/>
          <w:sz w:val="24"/>
          <w:szCs w:val="24"/>
          <w:highlight w:val="none"/>
        </w:rPr>
        <w:t>项目编号：[350201]wx[GK]2026003</w:t>
      </w:r>
    </w:p>
    <w:p w14:paraId="1280E505">
      <w:pPr>
        <w:pStyle w:val="11"/>
        <w:jc w:val="left"/>
        <w:rPr>
          <w:rFonts w:hint="eastAsia" w:eastAsia="仿宋_GB2312"/>
          <w:color w:val="auto"/>
          <w:sz w:val="24"/>
          <w:szCs w:val="24"/>
          <w:highlight w:val="none"/>
          <w:lang w:eastAsia="zh-CN"/>
        </w:rPr>
      </w:pPr>
      <w:r>
        <w:rPr>
          <w:rFonts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eastAsia="zh-CN"/>
        </w:rPr>
        <w:t>2026年新美街道农村一体化保洁</w:t>
      </w:r>
    </w:p>
    <w:p w14:paraId="2DA4B148">
      <w:pPr>
        <w:pStyle w:val="11"/>
        <w:jc w:val="left"/>
        <w:rPr>
          <w:rFonts w:hint="eastAsia" w:eastAsia="仿宋_GB2312"/>
          <w:color w:val="auto"/>
          <w:sz w:val="24"/>
          <w:szCs w:val="24"/>
          <w:highlight w:val="none"/>
          <w:lang w:eastAsia="zh-CN"/>
        </w:rPr>
      </w:pPr>
      <w:r>
        <w:rPr>
          <w:rFonts w:ascii="仿宋_GB2312" w:hAnsi="仿宋_GB2312" w:eastAsia="仿宋_GB2312" w:cs="仿宋_GB2312"/>
          <w:color w:val="auto"/>
          <w:sz w:val="24"/>
          <w:szCs w:val="24"/>
          <w:highlight w:val="none"/>
        </w:rPr>
        <w:t>采购包：</w:t>
      </w:r>
      <w:r>
        <w:rPr>
          <w:rFonts w:hint="eastAsia" w:ascii="仿宋_GB2312" w:hAnsi="仿宋_GB2312" w:eastAsia="仿宋_GB2312" w:cs="仿宋_GB2312"/>
          <w:color w:val="auto"/>
          <w:sz w:val="24"/>
          <w:szCs w:val="24"/>
          <w:highlight w:val="none"/>
          <w:lang w:eastAsia="zh-CN"/>
        </w:rPr>
        <w:t>2026年新美街道农村一体化保洁</w:t>
      </w:r>
    </w:p>
    <w:p w14:paraId="2C255B5F">
      <w:pPr>
        <w:pStyle w:val="11"/>
        <w:jc w:val="left"/>
        <w:rPr>
          <w:color w:val="auto"/>
          <w:sz w:val="24"/>
          <w:szCs w:val="24"/>
          <w:highlight w:val="none"/>
        </w:rPr>
      </w:pPr>
      <w:r>
        <w:rPr>
          <w:rFonts w:ascii="仿宋_GB2312" w:hAnsi="仿宋_GB2312" w:eastAsia="仿宋_GB2312" w:cs="仿宋_GB2312"/>
          <w:color w:val="auto"/>
          <w:sz w:val="24"/>
          <w:szCs w:val="24"/>
          <w:highlight w:val="none"/>
        </w:rPr>
        <w:t>投标人名称：</w:t>
      </w:r>
    </w:p>
    <w:p w14:paraId="0577E3A6">
      <w:pPr>
        <w:pStyle w:val="11"/>
        <w:jc w:val="left"/>
        <w:rPr>
          <w:rFonts w:hint="eastAsia" w:eastAsia="仿宋_GB2312"/>
          <w:color w:val="auto"/>
          <w:sz w:val="24"/>
          <w:szCs w:val="24"/>
          <w:highlight w:val="none"/>
          <w:lang w:eastAsia="zh-CN"/>
        </w:rPr>
      </w:pP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2026年新美街道农村一体化保洁</w:t>
      </w:r>
    </w:p>
    <w:p w14:paraId="3DD00FFE">
      <w:pPr>
        <w:pStyle w:val="11"/>
        <w:jc w:val="center"/>
        <w:rPr>
          <w:color w:val="auto"/>
          <w:sz w:val="24"/>
          <w:szCs w:val="24"/>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8"/>
        <w:gridCol w:w="745"/>
        <w:gridCol w:w="728"/>
        <w:gridCol w:w="728"/>
        <w:gridCol w:w="728"/>
        <w:gridCol w:w="728"/>
        <w:gridCol w:w="1056"/>
        <w:gridCol w:w="728"/>
        <w:gridCol w:w="936"/>
        <w:gridCol w:w="709"/>
        <w:gridCol w:w="728"/>
      </w:tblGrid>
      <w:tr w14:paraId="4D845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4B7648B">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序号</w:t>
            </w:r>
          </w:p>
        </w:tc>
        <w:tc>
          <w:tcPr>
            <w:tcW w:w="755" w:type="dxa"/>
          </w:tcPr>
          <w:p w14:paraId="3A479B09">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服务名称</w:t>
            </w:r>
          </w:p>
        </w:tc>
        <w:tc>
          <w:tcPr>
            <w:tcW w:w="755" w:type="dxa"/>
          </w:tcPr>
          <w:p w14:paraId="741B097B">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服务范围</w:t>
            </w:r>
          </w:p>
        </w:tc>
        <w:tc>
          <w:tcPr>
            <w:tcW w:w="755" w:type="dxa"/>
          </w:tcPr>
          <w:p w14:paraId="1C8F8D14">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服务要求</w:t>
            </w:r>
          </w:p>
        </w:tc>
        <w:tc>
          <w:tcPr>
            <w:tcW w:w="755" w:type="dxa"/>
          </w:tcPr>
          <w:p w14:paraId="2AFEB6A7">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服务时间</w:t>
            </w:r>
          </w:p>
        </w:tc>
        <w:tc>
          <w:tcPr>
            <w:tcW w:w="755" w:type="dxa"/>
          </w:tcPr>
          <w:p w14:paraId="182434D1">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服务标准</w:t>
            </w:r>
          </w:p>
        </w:tc>
        <w:tc>
          <w:tcPr>
            <w:tcW w:w="755" w:type="dxa"/>
          </w:tcPr>
          <w:p w14:paraId="12AD624A">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最高限价</w:t>
            </w:r>
          </w:p>
        </w:tc>
        <w:tc>
          <w:tcPr>
            <w:tcW w:w="755" w:type="dxa"/>
          </w:tcPr>
          <w:p w14:paraId="4D88297B">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单价</w:t>
            </w:r>
          </w:p>
        </w:tc>
        <w:tc>
          <w:tcPr>
            <w:tcW w:w="755" w:type="dxa"/>
          </w:tcPr>
          <w:p w14:paraId="720CDBA8">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数量</w:t>
            </w:r>
          </w:p>
        </w:tc>
        <w:tc>
          <w:tcPr>
            <w:tcW w:w="755" w:type="dxa"/>
          </w:tcPr>
          <w:p w14:paraId="21797D67">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计量单位</w:t>
            </w:r>
          </w:p>
        </w:tc>
        <w:tc>
          <w:tcPr>
            <w:tcW w:w="755" w:type="dxa"/>
          </w:tcPr>
          <w:p w14:paraId="08C9965C">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总价</w:t>
            </w:r>
          </w:p>
        </w:tc>
      </w:tr>
      <w:tr w14:paraId="09F5A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4507F5A">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1</w:t>
            </w:r>
          </w:p>
        </w:tc>
        <w:tc>
          <w:tcPr>
            <w:tcW w:w="755" w:type="dxa"/>
          </w:tcPr>
          <w:p w14:paraId="64921FC0">
            <w:pPr>
              <w:pStyle w:val="11"/>
              <w:jc w:val="left"/>
              <w:rPr>
                <w:rFonts w:hint="eastAsia" w:eastAsia="仿宋_GB2312"/>
                <w:color w:val="auto"/>
                <w:sz w:val="24"/>
                <w:szCs w:val="24"/>
                <w:highlight w:val="none"/>
                <w:lang w:eastAsia="zh-CN"/>
              </w:rPr>
            </w:pP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2026年新美街道农村一体化保洁</w:t>
            </w:r>
          </w:p>
        </w:tc>
        <w:tc>
          <w:tcPr>
            <w:tcW w:w="755" w:type="dxa"/>
          </w:tcPr>
          <w:p w14:paraId="5C16AEE1">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{供应商响应}</w:t>
            </w:r>
          </w:p>
        </w:tc>
        <w:tc>
          <w:tcPr>
            <w:tcW w:w="755" w:type="dxa"/>
          </w:tcPr>
          <w:p w14:paraId="0EAC8985">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{供应商响应}</w:t>
            </w:r>
          </w:p>
        </w:tc>
        <w:tc>
          <w:tcPr>
            <w:tcW w:w="755" w:type="dxa"/>
          </w:tcPr>
          <w:p w14:paraId="5E02B105">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{供应商响应}</w:t>
            </w:r>
          </w:p>
        </w:tc>
        <w:tc>
          <w:tcPr>
            <w:tcW w:w="755" w:type="dxa"/>
          </w:tcPr>
          <w:p w14:paraId="5F9F8B84">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{供应商响应}</w:t>
            </w:r>
          </w:p>
        </w:tc>
        <w:tc>
          <w:tcPr>
            <w:tcW w:w="755" w:type="dxa"/>
          </w:tcPr>
          <w:p w14:paraId="4A2B68D1">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4000000  元</w:t>
            </w:r>
          </w:p>
        </w:tc>
        <w:tc>
          <w:tcPr>
            <w:tcW w:w="755" w:type="dxa"/>
          </w:tcPr>
          <w:p w14:paraId="333F0597">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{=总价/数量}  元</w:t>
            </w:r>
          </w:p>
        </w:tc>
        <w:tc>
          <w:tcPr>
            <w:tcW w:w="755" w:type="dxa"/>
          </w:tcPr>
          <w:p w14:paraId="0A6C2CF2">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1.0000</w:t>
            </w:r>
          </w:p>
        </w:tc>
        <w:tc>
          <w:tcPr>
            <w:tcW w:w="755" w:type="dxa"/>
          </w:tcPr>
          <w:p w14:paraId="4B7CF61B">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项</w:t>
            </w:r>
          </w:p>
        </w:tc>
        <w:tc>
          <w:tcPr>
            <w:tcW w:w="755" w:type="dxa"/>
          </w:tcPr>
          <w:p w14:paraId="134ADF7C">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{供应商响应}  元</w:t>
            </w:r>
          </w:p>
        </w:tc>
      </w:tr>
    </w:tbl>
    <w:p w14:paraId="70E4D6CE">
      <w:pPr>
        <w:pStyle w:val="11"/>
        <w:jc w:val="left"/>
        <w:rPr>
          <w:color w:val="auto"/>
          <w:sz w:val="24"/>
          <w:szCs w:val="24"/>
          <w:highlight w:val="none"/>
        </w:rPr>
      </w:pPr>
      <w:r>
        <w:rPr>
          <w:rFonts w:ascii="仿宋_GB2312" w:hAnsi="仿宋_GB2312" w:eastAsia="仿宋_GB2312" w:cs="仿宋_GB2312"/>
          <w:color w:val="auto"/>
          <w:sz w:val="24"/>
          <w:szCs w:val="24"/>
          <w:highlight w:val="none"/>
        </w:rPr>
        <w:t>合计：</w:t>
      </w:r>
    </w:p>
    <w:p w14:paraId="61A2FD27">
      <w:pPr>
        <w:pStyle w:val="11"/>
        <w:jc w:val="left"/>
        <w:rPr>
          <w:color w:val="auto"/>
          <w:sz w:val="24"/>
          <w:szCs w:val="24"/>
          <w:highlight w:val="none"/>
        </w:rPr>
      </w:pPr>
      <w:r>
        <w:rPr>
          <w:rFonts w:ascii="仿宋_GB2312" w:hAnsi="仿宋_GB2312" w:eastAsia="仿宋_GB2312" w:cs="仿宋_GB2312"/>
          <w:color w:val="auto"/>
          <w:sz w:val="24"/>
          <w:szCs w:val="24"/>
          <w:highlight w:val="none"/>
        </w:rPr>
        <w:t>备注：无</w:t>
      </w:r>
    </w:p>
    <w:p w14:paraId="2C8E2880">
      <w:pPr>
        <w:pStyle w:val="11"/>
        <w:jc w:val="left"/>
        <w:rPr>
          <w:color w:val="auto"/>
          <w:sz w:val="24"/>
          <w:szCs w:val="24"/>
          <w:highlight w:val="none"/>
        </w:rPr>
      </w:pPr>
      <w:r>
        <w:rPr>
          <w:rFonts w:ascii="仿宋_GB2312" w:hAnsi="仿宋_GB2312" w:eastAsia="仿宋_GB2312" w:cs="仿宋_GB2312"/>
          <w:color w:val="auto"/>
          <w:sz w:val="24"/>
          <w:szCs w:val="24"/>
          <w:highlight w:val="none"/>
        </w:rPr>
        <w:t>时间：     年     月     日</w:t>
      </w:r>
    </w:p>
    <w:p w14:paraId="089B6EE3">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签章：                     </w:t>
      </w:r>
    </w:p>
    <w:p w14:paraId="468ACF6E">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4F5AFAF2">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三、招标文件规定的价格扣除证明材料（若有）</w:t>
      </w:r>
    </w:p>
    <w:p w14:paraId="49D71BC7">
      <w:pPr>
        <w:pStyle w:val="11"/>
        <w:jc w:val="center"/>
        <w:outlineLvl w:val="3"/>
        <w:rPr>
          <w:color w:val="auto"/>
          <w:sz w:val="24"/>
          <w:szCs w:val="24"/>
          <w:highlight w:val="none"/>
        </w:rPr>
      </w:pPr>
      <w:r>
        <w:rPr>
          <w:rFonts w:ascii="仿宋_GB2312" w:hAnsi="仿宋_GB2312" w:eastAsia="仿宋_GB2312" w:cs="仿宋_GB2312"/>
          <w:b/>
          <w:color w:val="auto"/>
          <w:sz w:val="24"/>
          <w:szCs w:val="24"/>
          <w:highlight w:val="none"/>
        </w:rPr>
        <w:t>三-1优先类节能产品、环境标志产品价格扣除证明材料（若有）</w:t>
      </w:r>
    </w:p>
    <w:p w14:paraId="1CA6CA9B">
      <w:pPr>
        <w:pStyle w:val="11"/>
        <w:jc w:val="center"/>
        <w:outlineLvl w:val="3"/>
        <w:rPr>
          <w:color w:val="auto"/>
          <w:sz w:val="24"/>
          <w:szCs w:val="24"/>
          <w:highlight w:val="none"/>
        </w:rPr>
      </w:pPr>
      <w:r>
        <w:rPr>
          <w:rFonts w:ascii="仿宋_GB2312" w:hAnsi="仿宋_GB2312" w:eastAsia="仿宋_GB2312" w:cs="仿宋_GB2312"/>
          <w:b/>
          <w:color w:val="auto"/>
          <w:sz w:val="24"/>
          <w:szCs w:val="24"/>
          <w:highlight w:val="none"/>
        </w:rPr>
        <w:t>三-1-①优先类节能产品、环境标志产品统计表（价格扣除适用，若有）</w:t>
      </w:r>
    </w:p>
    <w:p w14:paraId="00B42C46">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项目编号：</w:t>
      </w:r>
      <w:r>
        <w:rPr>
          <w:rFonts w:ascii="仿宋_GB2312" w:hAnsi="仿宋_GB2312" w:eastAsia="仿宋_GB2312" w:cs="仿宋_GB2312"/>
          <w:color w:val="auto"/>
          <w:sz w:val="24"/>
          <w:szCs w:val="24"/>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7983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252BA2F">
            <w:pPr>
              <w:rPr>
                <w:color w:val="auto"/>
                <w:sz w:val="24"/>
                <w:szCs w:val="24"/>
                <w:highlight w:val="none"/>
              </w:rPr>
            </w:pPr>
          </w:p>
        </w:tc>
        <w:tc>
          <w:tcPr>
            <w:tcW w:w="7122" w:type="dxa"/>
            <w:gridSpan w:val="4"/>
          </w:tcPr>
          <w:p w14:paraId="7B26B3BA">
            <w:pPr>
              <w:pStyle w:val="11"/>
              <w:jc w:val="center"/>
              <w:rPr>
                <w:color w:val="auto"/>
                <w:sz w:val="24"/>
                <w:szCs w:val="24"/>
                <w:highlight w:val="none"/>
              </w:rPr>
            </w:pPr>
            <w:r>
              <w:rPr>
                <w:rFonts w:ascii="仿宋_GB2312" w:hAnsi="仿宋_GB2312" w:eastAsia="仿宋_GB2312" w:cs="仿宋_GB2312"/>
                <w:color w:val="auto"/>
                <w:sz w:val="24"/>
                <w:szCs w:val="24"/>
                <w:highlight w:val="none"/>
              </w:rPr>
              <w:t>本采购包内属于节能、环境标志产品情况</w:t>
            </w:r>
          </w:p>
        </w:tc>
      </w:tr>
      <w:tr w14:paraId="0D347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A370921">
            <w:pPr>
              <w:pStyle w:val="11"/>
              <w:jc w:val="left"/>
              <w:rPr>
                <w:color w:val="auto"/>
                <w:sz w:val="24"/>
                <w:szCs w:val="24"/>
                <w:highlight w:val="none"/>
              </w:rPr>
            </w:pPr>
            <w:r>
              <w:rPr>
                <w:rFonts w:ascii="仿宋_GB2312" w:hAnsi="仿宋_GB2312" w:eastAsia="仿宋_GB2312" w:cs="仿宋_GB2312"/>
                <w:color w:val="auto"/>
                <w:sz w:val="24"/>
                <w:szCs w:val="24"/>
                <w:highlight w:val="none"/>
              </w:rPr>
              <w:t>采购包</w:t>
            </w:r>
          </w:p>
        </w:tc>
        <w:tc>
          <w:tcPr>
            <w:tcW w:w="1187" w:type="dxa"/>
          </w:tcPr>
          <w:p w14:paraId="348DD13D">
            <w:pPr>
              <w:pStyle w:val="11"/>
              <w:jc w:val="left"/>
              <w:rPr>
                <w:color w:val="auto"/>
                <w:sz w:val="24"/>
                <w:szCs w:val="24"/>
                <w:highlight w:val="none"/>
              </w:rPr>
            </w:pPr>
            <w:r>
              <w:rPr>
                <w:rFonts w:ascii="仿宋_GB2312" w:hAnsi="仿宋_GB2312" w:eastAsia="仿宋_GB2312" w:cs="仿宋_GB2312"/>
                <w:color w:val="auto"/>
                <w:sz w:val="24"/>
                <w:szCs w:val="24"/>
                <w:highlight w:val="none"/>
              </w:rPr>
              <w:t>品目号</w:t>
            </w:r>
          </w:p>
        </w:tc>
        <w:tc>
          <w:tcPr>
            <w:tcW w:w="1187" w:type="dxa"/>
          </w:tcPr>
          <w:p w14:paraId="09A4C56C">
            <w:pPr>
              <w:pStyle w:val="11"/>
              <w:jc w:val="left"/>
              <w:rPr>
                <w:color w:val="auto"/>
                <w:sz w:val="24"/>
                <w:szCs w:val="24"/>
                <w:highlight w:val="none"/>
              </w:rPr>
            </w:pPr>
            <w:r>
              <w:rPr>
                <w:rFonts w:ascii="仿宋_GB2312" w:hAnsi="仿宋_GB2312" w:eastAsia="仿宋_GB2312" w:cs="仿宋_GB2312"/>
                <w:color w:val="auto"/>
                <w:sz w:val="24"/>
                <w:szCs w:val="24"/>
                <w:highlight w:val="none"/>
              </w:rPr>
              <w:t>产品名称</w:t>
            </w:r>
          </w:p>
        </w:tc>
        <w:tc>
          <w:tcPr>
            <w:tcW w:w="1187" w:type="dxa"/>
          </w:tcPr>
          <w:p w14:paraId="3A5023EC">
            <w:pPr>
              <w:pStyle w:val="11"/>
              <w:jc w:val="left"/>
              <w:rPr>
                <w:color w:val="auto"/>
                <w:sz w:val="24"/>
                <w:szCs w:val="24"/>
                <w:highlight w:val="none"/>
              </w:rPr>
            </w:pPr>
            <w:r>
              <w:rPr>
                <w:rFonts w:ascii="仿宋_GB2312" w:hAnsi="仿宋_GB2312" w:eastAsia="仿宋_GB2312" w:cs="仿宋_GB2312"/>
                <w:color w:val="auto"/>
                <w:sz w:val="24"/>
                <w:szCs w:val="24"/>
                <w:highlight w:val="none"/>
              </w:rPr>
              <w:t>认证种类</w:t>
            </w:r>
          </w:p>
        </w:tc>
      </w:tr>
      <w:tr w14:paraId="265C6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C26FA71">
            <w:pPr>
              <w:pStyle w:val="11"/>
              <w:jc w:val="left"/>
              <w:rPr>
                <w:color w:val="auto"/>
                <w:sz w:val="24"/>
                <w:szCs w:val="24"/>
                <w:highlight w:val="none"/>
              </w:rPr>
            </w:pPr>
            <w:r>
              <w:rPr>
                <w:rFonts w:ascii="仿宋_GB2312" w:hAnsi="仿宋_GB2312" w:eastAsia="仿宋_GB2312" w:cs="仿宋_GB2312"/>
                <w:color w:val="auto"/>
                <w:sz w:val="24"/>
                <w:szCs w:val="24"/>
                <w:highlight w:val="none"/>
              </w:rPr>
              <w:t>*</w:t>
            </w:r>
          </w:p>
        </w:tc>
        <w:tc>
          <w:tcPr>
            <w:tcW w:w="1187" w:type="dxa"/>
          </w:tcPr>
          <w:p w14:paraId="7B676023">
            <w:pPr>
              <w:pStyle w:val="11"/>
              <w:jc w:val="left"/>
              <w:rPr>
                <w:color w:val="auto"/>
                <w:sz w:val="24"/>
                <w:szCs w:val="24"/>
                <w:highlight w:val="none"/>
              </w:rPr>
            </w:pPr>
            <w:r>
              <w:rPr>
                <w:rFonts w:ascii="仿宋_GB2312" w:hAnsi="仿宋_GB2312" w:eastAsia="仿宋_GB2312" w:cs="仿宋_GB2312"/>
                <w:color w:val="auto"/>
                <w:sz w:val="24"/>
                <w:szCs w:val="24"/>
                <w:highlight w:val="none"/>
              </w:rPr>
              <w:t>*-1</w:t>
            </w:r>
          </w:p>
        </w:tc>
        <w:tc>
          <w:tcPr>
            <w:tcW w:w="1187" w:type="dxa"/>
          </w:tcPr>
          <w:p w14:paraId="0B9636CA">
            <w:pPr>
              <w:rPr>
                <w:color w:val="auto"/>
                <w:sz w:val="24"/>
                <w:szCs w:val="24"/>
                <w:highlight w:val="none"/>
              </w:rPr>
            </w:pPr>
          </w:p>
        </w:tc>
        <w:tc>
          <w:tcPr>
            <w:tcW w:w="1187" w:type="dxa"/>
          </w:tcPr>
          <w:p w14:paraId="68B390A7">
            <w:pPr>
              <w:pStyle w:val="11"/>
              <w:jc w:val="left"/>
              <w:rPr>
                <w:color w:val="auto"/>
                <w:sz w:val="24"/>
                <w:szCs w:val="24"/>
                <w:highlight w:val="none"/>
              </w:rPr>
            </w:pPr>
            <w:r>
              <w:rPr>
                <w:rFonts w:ascii="仿宋_GB2312" w:hAnsi="仿宋_GB2312" w:eastAsia="仿宋_GB2312" w:cs="仿宋_GB2312"/>
                <w:color w:val="auto"/>
                <w:sz w:val="24"/>
                <w:szCs w:val="24"/>
                <w:highlight w:val="none"/>
              </w:rPr>
              <w:t>供应商自行填写种类，并上传证明附件以便评审查看</w:t>
            </w:r>
          </w:p>
        </w:tc>
      </w:tr>
      <w:tr w14:paraId="5CB65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6C7CB71">
            <w:pPr>
              <w:rPr>
                <w:color w:val="auto"/>
                <w:sz w:val="24"/>
                <w:szCs w:val="24"/>
                <w:highlight w:val="none"/>
              </w:rPr>
            </w:pPr>
          </w:p>
        </w:tc>
        <w:tc>
          <w:tcPr>
            <w:tcW w:w="1187" w:type="dxa"/>
          </w:tcPr>
          <w:p w14:paraId="11519650">
            <w:pPr>
              <w:pStyle w:val="11"/>
              <w:jc w:val="left"/>
              <w:rPr>
                <w:color w:val="auto"/>
                <w:sz w:val="24"/>
                <w:szCs w:val="24"/>
                <w:highlight w:val="none"/>
              </w:rPr>
            </w:pPr>
            <w:r>
              <w:rPr>
                <w:rFonts w:ascii="仿宋_GB2312" w:hAnsi="仿宋_GB2312" w:eastAsia="仿宋_GB2312" w:cs="仿宋_GB2312"/>
                <w:color w:val="auto"/>
                <w:sz w:val="24"/>
                <w:szCs w:val="24"/>
                <w:highlight w:val="none"/>
              </w:rPr>
              <w:t>…</w:t>
            </w:r>
          </w:p>
          <w:p w14:paraId="13F2DE83">
            <w:pPr>
              <w:pStyle w:val="11"/>
              <w:jc w:val="left"/>
              <w:rPr>
                <w:color w:val="auto"/>
                <w:sz w:val="24"/>
                <w:szCs w:val="24"/>
                <w:highlight w:val="none"/>
              </w:rPr>
            </w:pPr>
          </w:p>
        </w:tc>
        <w:tc>
          <w:tcPr>
            <w:tcW w:w="1187" w:type="dxa"/>
          </w:tcPr>
          <w:p w14:paraId="3DCB264F">
            <w:pPr>
              <w:rPr>
                <w:color w:val="auto"/>
                <w:sz w:val="24"/>
                <w:szCs w:val="24"/>
                <w:highlight w:val="none"/>
              </w:rPr>
            </w:pPr>
          </w:p>
        </w:tc>
        <w:tc>
          <w:tcPr>
            <w:tcW w:w="1187" w:type="dxa"/>
          </w:tcPr>
          <w:p w14:paraId="6E4986E8">
            <w:pPr>
              <w:rPr>
                <w:color w:val="auto"/>
                <w:sz w:val="24"/>
                <w:szCs w:val="24"/>
                <w:highlight w:val="none"/>
              </w:rPr>
            </w:pPr>
          </w:p>
        </w:tc>
      </w:tr>
      <w:tr w14:paraId="2FB52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EB0F0C7">
            <w:pPr>
              <w:pStyle w:val="11"/>
              <w:jc w:val="left"/>
              <w:rPr>
                <w:color w:val="auto"/>
                <w:sz w:val="24"/>
                <w:szCs w:val="24"/>
                <w:highlight w:val="none"/>
              </w:rPr>
            </w:pPr>
            <w:r>
              <w:rPr>
                <w:rFonts w:ascii="仿宋_GB2312" w:hAnsi="仿宋_GB2312" w:eastAsia="仿宋_GB2312" w:cs="仿宋_GB2312"/>
                <w:color w:val="auto"/>
                <w:sz w:val="24"/>
                <w:szCs w:val="24"/>
                <w:highlight w:val="none"/>
              </w:rPr>
              <w:t>备注</w:t>
            </w:r>
          </w:p>
        </w:tc>
        <w:tc>
          <w:tcPr>
            <w:tcW w:w="3561" w:type="dxa"/>
            <w:gridSpan w:val="3"/>
          </w:tcPr>
          <w:p w14:paraId="43A7BC98">
            <w:pPr>
              <w:pStyle w:val="11"/>
              <w:jc w:val="left"/>
              <w:rPr>
                <w:color w:val="auto"/>
                <w:sz w:val="24"/>
                <w:szCs w:val="24"/>
                <w:highlight w:val="none"/>
              </w:rPr>
            </w:pPr>
          </w:p>
        </w:tc>
      </w:tr>
    </w:tbl>
    <w:p w14:paraId="6E81492A">
      <w:pPr>
        <w:pStyle w:val="11"/>
        <w:jc w:val="left"/>
        <w:rPr>
          <w:color w:val="auto"/>
          <w:sz w:val="24"/>
          <w:szCs w:val="24"/>
          <w:highlight w:val="none"/>
        </w:rPr>
      </w:pPr>
      <w:r>
        <w:rPr>
          <w:rFonts w:ascii="仿宋_GB2312" w:hAnsi="仿宋_GB2312" w:eastAsia="仿宋_GB2312" w:cs="仿宋_GB2312"/>
          <w:color w:val="auto"/>
          <w:sz w:val="24"/>
          <w:szCs w:val="24"/>
          <w:highlight w:val="none"/>
        </w:rPr>
        <w:t>※注意：</w:t>
      </w:r>
    </w:p>
    <w:p w14:paraId="174DFA5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1、对节能、环境标志产品计算价格扣除时，只依据电子投标（响应）文件“投标（响应）报价明细表”以及“优先类节能产品、环境标志产品证明材料（价格扣除适用，若有）。</w:t>
      </w:r>
    </w:p>
    <w:p w14:paraId="1AED0AF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2、本表以采购包为单位，不同采购包请分别填写；同一采购包请按照其品目号顺序分别填写。</w:t>
      </w:r>
    </w:p>
    <w:p w14:paraId="55E3CA9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3、具体统计、计算：</w:t>
      </w:r>
    </w:p>
    <w:p w14:paraId="1C81BF5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3.1若同一采购包内的单个或多个货物取得或同时取得节能、环境标志产品等两项或多项认证的，均按照单个货物对应一项认证的原则统计、计算1次。</w:t>
      </w:r>
    </w:p>
    <w:p w14:paraId="568893A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3.2计算结果若除不尽，可四舍五入保留到小数点后两位。</w:t>
      </w:r>
    </w:p>
    <w:p w14:paraId="4716D63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3.3投标人(供应商)按照采购文件要求认真统计、计算。</w:t>
      </w:r>
    </w:p>
    <w:p w14:paraId="383AD69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3.4若无节能、环境标志产品，不填写本表。</w:t>
      </w:r>
    </w:p>
    <w:p w14:paraId="70B0348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3.5强制类节能产品不享受价格扣除。</w:t>
      </w:r>
    </w:p>
    <w:p w14:paraId="0973F965">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17C548A2">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12B42E6D">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75EAFCAE">
      <w:pPr>
        <w:pStyle w:val="11"/>
        <w:jc w:val="center"/>
        <w:outlineLvl w:val="3"/>
        <w:rPr>
          <w:color w:val="auto"/>
          <w:sz w:val="24"/>
          <w:szCs w:val="24"/>
          <w:highlight w:val="none"/>
        </w:rPr>
      </w:pPr>
      <w:r>
        <w:rPr>
          <w:rFonts w:ascii="仿宋_GB2312" w:hAnsi="仿宋_GB2312" w:eastAsia="仿宋_GB2312" w:cs="仿宋_GB2312"/>
          <w:b/>
          <w:color w:val="auto"/>
          <w:sz w:val="24"/>
          <w:szCs w:val="24"/>
          <w:highlight w:val="none"/>
        </w:rPr>
        <w:t>三-1-②优先类节能产品、环境标志产品证明材料（价格扣除适用，若有）</w:t>
      </w:r>
    </w:p>
    <w:p w14:paraId="778417A9">
      <w:pPr>
        <w:pStyle w:val="11"/>
        <w:jc w:val="center"/>
        <w:outlineLvl w:val="3"/>
        <w:rPr>
          <w:color w:val="auto"/>
          <w:sz w:val="24"/>
          <w:szCs w:val="24"/>
          <w:highlight w:val="none"/>
        </w:rPr>
      </w:pPr>
      <w:r>
        <w:rPr>
          <w:rFonts w:ascii="仿宋_GB2312" w:hAnsi="仿宋_GB2312" w:eastAsia="仿宋_GB2312" w:cs="仿宋_GB2312"/>
          <w:b/>
          <w:color w:val="auto"/>
          <w:sz w:val="24"/>
          <w:szCs w:val="24"/>
          <w:highlight w:val="none"/>
        </w:rPr>
        <w:t>三-2小型、微型企业产品等价格扣除证明材料（若有）</w:t>
      </w:r>
    </w:p>
    <w:p w14:paraId="0C96B754">
      <w:pPr>
        <w:pStyle w:val="11"/>
        <w:jc w:val="center"/>
        <w:outlineLvl w:val="3"/>
        <w:rPr>
          <w:color w:val="auto"/>
          <w:sz w:val="24"/>
          <w:szCs w:val="24"/>
          <w:highlight w:val="none"/>
        </w:rPr>
      </w:pPr>
      <w:r>
        <w:rPr>
          <w:rFonts w:ascii="仿宋_GB2312" w:hAnsi="仿宋_GB2312" w:eastAsia="仿宋_GB2312" w:cs="仿宋_GB2312"/>
          <w:b/>
          <w:color w:val="auto"/>
          <w:sz w:val="24"/>
          <w:szCs w:val="24"/>
          <w:highlight w:val="none"/>
        </w:rPr>
        <w:t>三-2-①中小企业声明函（价格扣除适用，若有）</w:t>
      </w:r>
    </w:p>
    <w:p w14:paraId="6F5B273A">
      <w:pPr>
        <w:pStyle w:val="11"/>
        <w:jc w:val="center"/>
        <w:outlineLvl w:val="3"/>
        <w:rPr>
          <w:color w:val="auto"/>
          <w:sz w:val="24"/>
          <w:szCs w:val="24"/>
          <w:highlight w:val="none"/>
        </w:rPr>
      </w:pPr>
      <w:r>
        <w:rPr>
          <w:rFonts w:ascii="仿宋_GB2312" w:hAnsi="仿宋_GB2312" w:eastAsia="仿宋_GB2312" w:cs="仿宋_GB2312"/>
          <w:b/>
          <w:color w:val="auto"/>
          <w:sz w:val="24"/>
          <w:szCs w:val="24"/>
          <w:highlight w:val="none"/>
        </w:rPr>
        <w:t>中小企业声明函（货物）</w:t>
      </w:r>
    </w:p>
    <w:p w14:paraId="61D3F48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sz w:val="24"/>
          <w:szCs w:val="24"/>
          <w:highlight w:val="none"/>
          <w:u w:val="single"/>
        </w:rPr>
        <w:t>（单位名称）</w:t>
      </w:r>
      <w:r>
        <w:rPr>
          <w:rFonts w:ascii="仿宋_GB2312" w:hAnsi="仿宋_GB2312" w:eastAsia="仿宋_GB2312" w:cs="仿宋_GB2312"/>
          <w:color w:val="auto"/>
          <w:sz w:val="24"/>
          <w:szCs w:val="24"/>
          <w:highlight w:val="none"/>
        </w:rPr>
        <w:t>的</w:t>
      </w:r>
      <w:r>
        <w:rPr>
          <w:rFonts w:ascii="仿宋_GB2312" w:hAnsi="仿宋_GB2312" w:eastAsia="仿宋_GB2312" w:cs="仿宋_GB2312"/>
          <w:color w:val="auto"/>
          <w:sz w:val="24"/>
          <w:szCs w:val="24"/>
          <w:highlight w:val="none"/>
          <w:u w:val="single"/>
        </w:rPr>
        <w:t>（项目名称）</w:t>
      </w:r>
      <w:r>
        <w:rPr>
          <w:rFonts w:ascii="仿宋_GB2312" w:hAnsi="仿宋_GB2312" w:eastAsia="仿宋_GB2312" w:cs="仿宋_GB2312"/>
          <w:color w:val="auto"/>
          <w:sz w:val="24"/>
          <w:szCs w:val="24"/>
          <w:highlight w:val="none"/>
        </w:rPr>
        <w:t>采购活动，提供的货物全部由符合政策要求的中小企业制造。相关企业（含联合体中的中小企业、签订分包意向协议的中小企业）的具体情况如下：</w:t>
      </w:r>
    </w:p>
    <w:p w14:paraId="37D5738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u w:val="single"/>
        </w:rPr>
        <w:t xml:space="preserve"> （标的名称） </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行业；制造商为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w:t>
      </w:r>
      <w:r>
        <w:rPr>
          <w:rFonts w:ascii="仿宋_GB2312" w:hAnsi="仿宋_GB2312" w:eastAsia="仿宋_GB2312" w:cs="仿宋_GB2312"/>
          <w:color w:val="auto"/>
          <w:sz w:val="24"/>
          <w:szCs w:val="24"/>
          <w:highlight w:val="none"/>
          <w:vertAlign w:val="superscript"/>
        </w:rPr>
        <w:t>1</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4D97B964">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u w:val="single"/>
        </w:rPr>
        <w:t xml:space="preserve"> （标的名称） </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行业；制造商为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770A9F2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w:t>
      </w:r>
    </w:p>
    <w:p w14:paraId="66A7EEF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以上企业，不属于大企业的分支机构，不存在控股股东为大企业的情形，也不存在与大企业的负责人为同一人的情形。</w:t>
      </w:r>
    </w:p>
    <w:p w14:paraId="19757A9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本企业对上述声明内容的真实性负责。如有虚假，将依法承担相应责任。</w:t>
      </w:r>
    </w:p>
    <w:p w14:paraId="1A7E86CD">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31B9AE6B">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61B5733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1AAC1A0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1、从业人员、营业收入、资产总额填报上一年度数据，无上一年度数据的新成立企业可不填报。</w:t>
      </w:r>
    </w:p>
    <w:p w14:paraId="28D1B8A6">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4842EE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E3943A3">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2EE69B48">
      <w:pPr>
        <w:pStyle w:val="11"/>
        <w:jc w:val="center"/>
        <w:outlineLvl w:val="3"/>
        <w:rPr>
          <w:color w:val="auto"/>
          <w:sz w:val="24"/>
          <w:szCs w:val="24"/>
          <w:highlight w:val="none"/>
        </w:rPr>
      </w:pPr>
      <w:r>
        <w:rPr>
          <w:rFonts w:ascii="仿宋_GB2312" w:hAnsi="仿宋_GB2312" w:eastAsia="仿宋_GB2312" w:cs="仿宋_GB2312"/>
          <w:b/>
          <w:color w:val="auto"/>
          <w:sz w:val="24"/>
          <w:szCs w:val="24"/>
          <w:highlight w:val="none"/>
        </w:rPr>
        <w:t>中小企业声明函（工程、服务）</w:t>
      </w:r>
    </w:p>
    <w:p w14:paraId="3A53CBC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sz w:val="24"/>
          <w:szCs w:val="24"/>
          <w:highlight w:val="none"/>
          <w:u w:val="single"/>
        </w:rPr>
        <w:t>（单位名称）</w:t>
      </w:r>
      <w:r>
        <w:rPr>
          <w:rFonts w:ascii="仿宋_GB2312" w:hAnsi="仿宋_GB2312" w:eastAsia="仿宋_GB2312" w:cs="仿宋_GB2312"/>
          <w:color w:val="auto"/>
          <w:sz w:val="24"/>
          <w:szCs w:val="24"/>
          <w:highlight w:val="none"/>
        </w:rPr>
        <w:t>的</w:t>
      </w:r>
      <w:r>
        <w:rPr>
          <w:rFonts w:ascii="仿宋_GB2312" w:hAnsi="仿宋_GB2312" w:eastAsia="仿宋_GB2312" w:cs="仿宋_GB2312"/>
          <w:color w:val="auto"/>
          <w:sz w:val="24"/>
          <w:szCs w:val="24"/>
          <w:highlight w:val="none"/>
          <w:u w:val="single"/>
        </w:rPr>
        <w:t>（项目名称）</w:t>
      </w:r>
      <w:r>
        <w:rPr>
          <w:rFonts w:ascii="仿宋_GB2312" w:hAnsi="仿宋_GB2312" w:eastAsia="仿宋_GB2312" w:cs="仿宋_GB2312"/>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0A9E876">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u w:val="single"/>
        </w:rPr>
        <w:t>（标的名称）</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；承建（承接）企业为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w:t>
      </w:r>
      <w:r>
        <w:rPr>
          <w:rFonts w:ascii="仿宋_GB2312" w:hAnsi="仿宋_GB2312" w:eastAsia="仿宋_GB2312" w:cs="仿宋_GB2312"/>
          <w:color w:val="auto"/>
          <w:sz w:val="24"/>
          <w:szCs w:val="24"/>
          <w:highlight w:val="none"/>
          <w:vertAlign w:val="superscript"/>
        </w:rPr>
        <w:t>1</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21A9148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u w:val="single"/>
        </w:rPr>
        <w:t>（标的名称）</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；承建（承接）企业为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69BB9D1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w:t>
      </w:r>
    </w:p>
    <w:p w14:paraId="745D523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以上企业，不属于大企业的分支机构，不存在控股股东为大企业的情形，也不存在与大企业的负责人为同一人的情形。</w:t>
      </w:r>
    </w:p>
    <w:p w14:paraId="3A164B4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本企业对上述声明内容的真实性负责。如有虚假，将依法承担相应责任。</w:t>
      </w:r>
    </w:p>
    <w:p w14:paraId="63EDC16C">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76B0C2D4">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7038441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1FDA463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1、从业人员、营业收入、资产总额填报上一年度数据，无上一年度数据的新成立企业可不填报。</w:t>
      </w:r>
    </w:p>
    <w:p w14:paraId="4054A049">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87D9684">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C13168C">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06D4E29B">
      <w:pPr>
        <w:pStyle w:val="11"/>
        <w:jc w:val="center"/>
        <w:outlineLvl w:val="3"/>
        <w:rPr>
          <w:color w:val="auto"/>
          <w:sz w:val="24"/>
          <w:szCs w:val="24"/>
          <w:highlight w:val="none"/>
        </w:rPr>
      </w:pPr>
      <w:r>
        <w:rPr>
          <w:rFonts w:ascii="仿宋_GB2312" w:hAnsi="仿宋_GB2312" w:eastAsia="仿宋_GB2312" w:cs="仿宋_GB2312"/>
          <w:b/>
          <w:color w:val="auto"/>
          <w:sz w:val="24"/>
          <w:szCs w:val="24"/>
          <w:highlight w:val="none"/>
        </w:rPr>
        <w:t>三-2-②小型、微型企业等证明材料（价格扣除适用，若有）</w:t>
      </w:r>
    </w:p>
    <w:p w14:paraId="144838ED">
      <w:pPr>
        <w:pStyle w:val="11"/>
        <w:ind w:firstLine="480"/>
        <w:jc w:val="center"/>
        <w:rPr>
          <w:color w:val="auto"/>
          <w:sz w:val="24"/>
          <w:szCs w:val="24"/>
          <w:highlight w:val="none"/>
        </w:rPr>
      </w:pPr>
      <w:r>
        <w:rPr>
          <w:rFonts w:ascii="仿宋_GB2312" w:hAnsi="仿宋_GB2312" w:eastAsia="仿宋_GB2312" w:cs="仿宋_GB2312"/>
          <w:color w:val="auto"/>
          <w:sz w:val="24"/>
          <w:szCs w:val="24"/>
          <w:highlight w:val="none"/>
        </w:rPr>
        <w:t>编制说明</w:t>
      </w:r>
    </w:p>
    <w:p w14:paraId="780B168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1、投标人为监狱企业的，根据其提供的由省级以上监狱管理局、戒毒管理局（含新疆生产建设兵团）出具的属于监狱企业的证明文件进行认定，监狱企业视同小型、微型企业。</w:t>
      </w:r>
    </w:p>
    <w:p w14:paraId="34D9DF5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74EE31F3">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附：</w:t>
      </w:r>
    </w:p>
    <w:p w14:paraId="4539EDF0">
      <w:pPr>
        <w:pStyle w:val="11"/>
        <w:jc w:val="center"/>
        <w:outlineLvl w:val="3"/>
        <w:rPr>
          <w:color w:val="auto"/>
          <w:sz w:val="24"/>
          <w:szCs w:val="24"/>
          <w:highlight w:val="none"/>
        </w:rPr>
      </w:pPr>
      <w:r>
        <w:rPr>
          <w:rFonts w:ascii="仿宋_GB2312" w:hAnsi="仿宋_GB2312" w:eastAsia="仿宋_GB2312" w:cs="仿宋_GB2312"/>
          <w:b/>
          <w:color w:val="auto"/>
          <w:sz w:val="24"/>
          <w:szCs w:val="24"/>
          <w:highlight w:val="none"/>
        </w:rPr>
        <w:t>残疾人福利性单位声明函（价格扣除适用，若有）</w:t>
      </w:r>
    </w:p>
    <w:p w14:paraId="36C88D6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F752E7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EBFF71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）由本投标人承建的（填写“所投采购包、品目号”）工程</w:t>
      </w:r>
    </w:p>
    <w:p w14:paraId="2BA7FE6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 ）由本投标人承接的（填写“所投采购包、品目号”）服务；</w:t>
      </w:r>
    </w:p>
    <w:p w14:paraId="265FF0F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本投标人对上述声明的真实性负责。如有虚假，将依法承担相应责任。</w:t>
      </w:r>
    </w:p>
    <w:p w14:paraId="3AD71A1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备注：</w:t>
      </w:r>
    </w:p>
    <w:p w14:paraId="433C2D3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1、请投标人按照实际情况编制填写本声明函，并在相应的（）中打“√”。</w:t>
      </w:r>
    </w:p>
    <w:p w14:paraId="69605FF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2、若《残疾人福利性单位声明函》内容不真实，视为提供虚假材料。</w:t>
      </w:r>
    </w:p>
    <w:p w14:paraId="1D772FAA">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2D4F9C2C">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43F688A9">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769D122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附：</w:t>
      </w:r>
    </w:p>
    <w:p w14:paraId="02D46CD3">
      <w:pPr>
        <w:pStyle w:val="11"/>
        <w:jc w:val="center"/>
        <w:outlineLvl w:val="3"/>
        <w:rPr>
          <w:color w:val="auto"/>
          <w:sz w:val="24"/>
          <w:szCs w:val="24"/>
          <w:highlight w:val="none"/>
        </w:rPr>
      </w:pPr>
      <w:r>
        <w:rPr>
          <w:rFonts w:ascii="仿宋_GB2312" w:hAnsi="仿宋_GB2312" w:eastAsia="仿宋_GB2312" w:cs="仿宋_GB2312"/>
          <w:b/>
          <w:color w:val="auto"/>
          <w:sz w:val="24"/>
          <w:szCs w:val="24"/>
          <w:highlight w:val="none"/>
        </w:rPr>
        <w:t>监狱企业证明材料</w:t>
      </w:r>
    </w:p>
    <w:p w14:paraId="2FE310C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5065F915">
      <w:pPr>
        <w:pStyle w:val="11"/>
        <w:jc w:val="left"/>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24556F47">
      <w:pPr>
        <w:pStyle w:val="11"/>
        <w:jc w:val="center"/>
        <w:outlineLvl w:val="3"/>
        <w:rPr>
          <w:color w:val="auto"/>
          <w:sz w:val="24"/>
          <w:szCs w:val="24"/>
          <w:highlight w:val="none"/>
        </w:rPr>
      </w:pPr>
      <w:r>
        <w:rPr>
          <w:rFonts w:ascii="仿宋_GB2312" w:hAnsi="仿宋_GB2312" w:eastAsia="仿宋_GB2312" w:cs="仿宋_GB2312"/>
          <w:b/>
          <w:color w:val="auto"/>
          <w:sz w:val="24"/>
          <w:szCs w:val="24"/>
          <w:highlight w:val="none"/>
        </w:rPr>
        <w:t>三-3招标文件规定的其他价格扣除证明材料（若有）</w:t>
      </w:r>
    </w:p>
    <w:p w14:paraId="0B6655BF">
      <w:pPr>
        <w:pStyle w:val="11"/>
        <w:ind w:firstLine="480"/>
        <w:jc w:val="center"/>
        <w:rPr>
          <w:color w:val="auto"/>
          <w:sz w:val="24"/>
          <w:szCs w:val="24"/>
          <w:highlight w:val="none"/>
        </w:rPr>
      </w:pPr>
      <w:r>
        <w:rPr>
          <w:rFonts w:ascii="仿宋_GB2312" w:hAnsi="仿宋_GB2312" w:eastAsia="仿宋_GB2312" w:cs="仿宋_GB2312"/>
          <w:color w:val="auto"/>
          <w:sz w:val="24"/>
          <w:szCs w:val="24"/>
          <w:highlight w:val="none"/>
        </w:rPr>
        <w:t>编制说明</w:t>
      </w:r>
    </w:p>
    <w:p w14:paraId="06DABF4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1B605E55">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758E8510">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封面格式(技术商务部分)</w:t>
      </w:r>
    </w:p>
    <w:p w14:paraId="76660001">
      <w:pPr>
        <w:pStyle w:val="11"/>
        <w:jc w:val="center"/>
        <w:outlineLvl w:val="0"/>
        <w:rPr>
          <w:color w:val="auto"/>
          <w:sz w:val="24"/>
          <w:szCs w:val="24"/>
          <w:highlight w:val="none"/>
        </w:rPr>
      </w:pPr>
      <w:r>
        <w:rPr>
          <w:rFonts w:ascii="仿宋_GB2312" w:hAnsi="仿宋_GB2312" w:eastAsia="仿宋_GB2312" w:cs="仿宋_GB2312"/>
          <w:b/>
          <w:color w:val="auto"/>
          <w:sz w:val="24"/>
          <w:szCs w:val="24"/>
          <w:highlight w:val="none"/>
        </w:rPr>
        <w:t>福建省政府采购投标文件</w:t>
      </w:r>
    </w:p>
    <w:p w14:paraId="5F1CAA32">
      <w:pPr>
        <w:pStyle w:val="11"/>
        <w:jc w:val="center"/>
        <w:outlineLvl w:val="0"/>
        <w:rPr>
          <w:color w:val="auto"/>
          <w:sz w:val="24"/>
          <w:szCs w:val="24"/>
          <w:highlight w:val="none"/>
        </w:rPr>
      </w:pPr>
      <w:r>
        <w:rPr>
          <w:rFonts w:ascii="仿宋_GB2312" w:hAnsi="仿宋_GB2312" w:eastAsia="仿宋_GB2312" w:cs="仿宋_GB2312"/>
          <w:b/>
          <w:color w:val="auto"/>
          <w:sz w:val="24"/>
          <w:szCs w:val="24"/>
          <w:highlight w:val="none"/>
        </w:rPr>
        <w:t>（技术商务部分）</w:t>
      </w:r>
      <w:r>
        <w:rPr>
          <w:color w:val="auto"/>
          <w:sz w:val="24"/>
          <w:szCs w:val="24"/>
          <w:highlight w:val="none"/>
        </w:rPr>
        <w:br w:type="textWrapping"/>
      </w:r>
      <w:r>
        <w:rPr>
          <w:color w:val="auto"/>
          <w:sz w:val="24"/>
          <w:szCs w:val="24"/>
          <w:highlight w:val="none"/>
        </w:rPr>
        <w:br w:type="textWrapping"/>
      </w:r>
    </w:p>
    <w:p w14:paraId="47081BE8">
      <w:pPr>
        <w:pStyle w:val="11"/>
        <w:jc w:val="center"/>
        <w:outlineLvl w:val="1"/>
        <w:rPr>
          <w:color w:val="auto"/>
          <w:sz w:val="24"/>
          <w:szCs w:val="24"/>
          <w:highlight w:val="none"/>
        </w:rPr>
      </w:pPr>
      <w:r>
        <w:rPr>
          <w:rFonts w:ascii="仿宋_GB2312" w:hAnsi="仿宋_GB2312" w:eastAsia="仿宋_GB2312" w:cs="仿宋_GB2312"/>
          <w:b/>
          <w:color w:val="auto"/>
          <w:sz w:val="24"/>
          <w:szCs w:val="24"/>
          <w:highlight w:val="none"/>
        </w:rPr>
        <w:t>（填写正本或副本）</w:t>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p>
    <w:p w14:paraId="242FA908">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项目名称：（由投标人填写）</w:t>
      </w:r>
    </w:p>
    <w:p w14:paraId="5EE454EA">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备案编号：（由投标人填写）</w:t>
      </w:r>
    </w:p>
    <w:p w14:paraId="4FEBDD44">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项目编号：（由投标人填写）</w:t>
      </w:r>
    </w:p>
    <w:p w14:paraId="68BC75A2">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所投采购包：（由投标人填写）</w:t>
      </w:r>
    </w:p>
    <w:p w14:paraId="01CFD3EB">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投标人：（填写“全称”）</w:t>
      </w:r>
    </w:p>
    <w:p w14:paraId="7CB31FE0">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（由投标人填写）年（由投标人填写）月</w:t>
      </w:r>
    </w:p>
    <w:p w14:paraId="43C33A13">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44E2D93E">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索引</w:t>
      </w:r>
    </w:p>
    <w:p w14:paraId="2B28855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一、标的说明一览表</w:t>
      </w:r>
    </w:p>
    <w:p w14:paraId="2F8EC03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二、技术和服务要求响应表</w:t>
      </w:r>
    </w:p>
    <w:p w14:paraId="00BFFBD4">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三、商务条件响应表</w:t>
      </w:r>
    </w:p>
    <w:p w14:paraId="4C7882F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四、投标人提交的其他资料（若有）</w:t>
      </w:r>
    </w:p>
    <w:p w14:paraId="02CA6997">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55BAD6B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技术商务部分中不得出现报价部分的全部或部分的投标报价信息（或组成资料），否则符合性审查不合格。</w:t>
      </w:r>
    </w:p>
    <w:p w14:paraId="7045BE5C">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0A70C4A9">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一、标的说明一览表</w:t>
      </w:r>
    </w:p>
    <w:p w14:paraId="35984005">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项目编号：</w:t>
      </w:r>
      <w:r>
        <w:rPr>
          <w:rFonts w:ascii="仿宋_GB2312" w:hAnsi="仿宋_GB2312" w:eastAsia="仿宋_GB2312" w:cs="仿宋_GB2312"/>
          <w:color w:val="auto"/>
          <w:sz w:val="24"/>
          <w:szCs w:val="24"/>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AC9A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6F0C21F">
            <w:pPr>
              <w:pStyle w:val="11"/>
              <w:jc w:val="left"/>
              <w:rPr>
                <w:color w:val="auto"/>
                <w:sz w:val="24"/>
                <w:szCs w:val="24"/>
                <w:highlight w:val="none"/>
              </w:rPr>
            </w:pPr>
            <w:r>
              <w:rPr>
                <w:rFonts w:ascii="仿宋_GB2312" w:hAnsi="仿宋_GB2312" w:eastAsia="仿宋_GB2312" w:cs="仿宋_GB2312"/>
                <w:color w:val="auto"/>
                <w:sz w:val="24"/>
                <w:szCs w:val="24"/>
                <w:highlight w:val="none"/>
              </w:rPr>
              <w:t>采购包</w:t>
            </w:r>
          </w:p>
        </w:tc>
        <w:tc>
          <w:tcPr>
            <w:tcW w:w="1187" w:type="dxa"/>
          </w:tcPr>
          <w:p w14:paraId="360D07D7">
            <w:pPr>
              <w:pStyle w:val="11"/>
              <w:jc w:val="left"/>
              <w:rPr>
                <w:color w:val="auto"/>
                <w:sz w:val="24"/>
                <w:szCs w:val="24"/>
                <w:highlight w:val="none"/>
              </w:rPr>
            </w:pPr>
            <w:r>
              <w:rPr>
                <w:rFonts w:ascii="仿宋_GB2312" w:hAnsi="仿宋_GB2312" w:eastAsia="仿宋_GB2312" w:cs="仿宋_GB2312"/>
                <w:color w:val="auto"/>
                <w:sz w:val="24"/>
                <w:szCs w:val="24"/>
                <w:highlight w:val="none"/>
              </w:rPr>
              <w:t>品目号</w:t>
            </w:r>
          </w:p>
        </w:tc>
        <w:tc>
          <w:tcPr>
            <w:tcW w:w="1187" w:type="dxa"/>
          </w:tcPr>
          <w:p w14:paraId="06DB752C">
            <w:pPr>
              <w:pStyle w:val="11"/>
              <w:jc w:val="left"/>
              <w:rPr>
                <w:color w:val="auto"/>
                <w:sz w:val="24"/>
                <w:szCs w:val="24"/>
                <w:highlight w:val="none"/>
              </w:rPr>
            </w:pPr>
            <w:r>
              <w:rPr>
                <w:rFonts w:ascii="仿宋_GB2312" w:hAnsi="仿宋_GB2312" w:eastAsia="仿宋_GB2312" w:cs="仿宋_GB2312"/>
                <w:color w:val="auto"/>
                <w:sz w:val="24"/>
                <w:szCs w:val="24"/>
                <w:highlight w:val="none"/>
              </w:rPr>
              <w:t>投标标的</w:t>
            </w:r>
          </w:p>
        </w:tc>
        <w:tc>
          <w:tcPr>
            <w:tcW w:w="1187" w:type="dxa"/>
          </w:tcPr>
          <w:p w14:paraId="66675549">
            <w:pPr>
              <w:pStyle w:val="11"/>
              <w:jc w:val="left"/>
              <w:rPr>
                <w:color w:val="auto"/>
                <w:sz w:val="24"/>
                <w:szCs w:val="24"/>
                <w:highlight w:val="none"/>
              </w:rPr>
            </w:pPr>
            <w:r>
              <w:rPr>
                <w:rFonts w:ascii="仿宋_GB2312" w:hAnsi="仿宋_GB2312" w:eastAsia="仿宋_GB2312" w:cs="仿宋_GB2312"/>
                <w:color w:val="auto"/>
                <w:sz w:val="24"/>
                <w:szCs w:val="24"/>
                <w:highlight w:val="none"/>
              </w:rPr>
              <w:t>数量</w:t>
            </w:r>
          </w:p>
        </w:tc>
        <w:tc>
          <w:tcPr>
            <w:tcW w:w="1187" w:type="dxa"/>
          </w:tcPr>
          <w:p w14:paraId="21F11A03">
            <w:pPr>
              <w:pStyle w:val="11"/>
              <w:jc w:val="left"/>
              <w:rPr>
                <w:color w:val="auto"/>
                <w:sz w:val="24"/>
                <w:szCs w:val="24"/>
                <w:highlight w:val="none"/>
              </w:rPr>
            </w:pPr>
            <w:r>
              <w:rPr>
                <w:rFonts w:ascii="仿宋_GB2312" w:hAnsi="仿宋_GB2312" w:eastAsia="仿宋_GB2312" w:cs="仿宋_GB2312"/>
                <w:color w:val="auto"/>
                <w:sz w:val="24"/>
                <w:szCs w:val="24"/>
                <w:highlight w:val="none"/>
              </w:rPr>
              <w:t>规格</w:t>
            </w:r>
          </w:p>
        </w:tc>
        <w:tc>
          <w:tcPr>
            <w:tcW w:w="1187" w:type="dxa"/>
          </w:tcPr>
          <w:p w14:paraId="45681655">
            <w:pPr>
              <w:pStyle w:val="11"/>
              <w:jc w:val="left"/>
              <w:rPr>
                <w:color w:val="auto"/>
                <w:sz w:val="24"/>
                <w:szCs w:val="24"/>
                <w:highlight w:val="none"/>
              </w:rPr>
            </w:pPr>
            <w:r>
              <w:rPr>
                <w:rFonts w:ascii="仿宋_GB2312" w:hAnsi="仿宋_GB2312" w:eastAsia="仿宋_GB2312" w:cs="仿宋_GB2312"/>
                <w:color w:val="auto"/>
                <w:sz w:val="24"/>
                <w:szCs w:val="24"/>
                <w:highlight w:val="none"/>
              </w:rPr>
              <w:t>来源地</w:t>
            </w:r>
          </w:p>
        </w:tc>
        <w:tc>
          <w:tcPr>
            <w:tcW w:w="1187" w:type="dxa"/>
          </w:tcPr>
          <w:p w14:paraId="22CEC56B">
            <w:pPr>
              <w:pStyle w:val="11"/>
              <w:jc w:val="left"/>
              <w:rPr>
                <w:color w:val="auto"/>
                <w:sz w:val="24"/>
                <w:szCs w:val="24"/>
                <w:highlight w:val="none"/>
              </w:rPr>
            </w:pPr>
            <w:r>
              <w:rPr>
                <w:rFonts w:ascii="仿宋_GB2312" w:hAnsi="仿宋_GB2312" w:eastAsia="仿宋_GB2312" w:cs="仿宋_GB2312"/>
                <w:color w:val="auto"/>
                <w:sz w:val="24"/>
                <w:szCs w:val="24"/>
                <w:highlight w:val="none"/>
              </w:rPr>
              <w:t>备注</w:t>
            </w:r>
          </w:p>
        </w:tc>
      </w:tr>
      <w:tr w14:paraId="11EC6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2E30201">
            <w:pPr>
              <w:pStyle w:val="11"/>
              <w:jc w:val="left"/>
              <w:rPr>
                <w:color w:val="auto"/>
                <w:sz w:val="24"/>
                <w:szCs w:val="24"/>
                <w:highlight w:val="none"/>
              </w:rPr>
            </w:pPr>
            <w:r>
              <w:rPr>
                <w:rFonts w:ascii="仿宋_GB2312" w:hAnsi="仿宋_GB2312" w:eastAsia="仿宋_GB2312" w:cs="仿宋_GB2312"/>
                <w:color w:val="auto"/>
                <w:sz w:val="24"/>
                <w:szCs w:val="24"/>
                <w:highlight w:val="none"/>
              </w:rPr>
              <w:t>*</w:t>
            </w:r>
          </w:p>
        </w:tc>
        <w:tc>
          <w:tcPr>
            <w:tcW w:w="1187" w:type="dxa"/>
          </w:tcPr>
          <w:p w14:paraId="35F1D39E">
            <w:pPr>
              <w:pStyle w:val="11"/>
              <w:jc w:val="left"/>
              <w:rPr>
                <w:color w:val="auto"/>
                <w:sz w:val="24"/>
                <w:szCs w:val="24"/>
                <w:highlight w:val="none"/>
              </w:rPr>
            </w:pPr>
            <w:r>
              <w:rPr>
                <w:rFonts w:ascii="仿宋_GB2312" w:hAnsi="仿宋_GB2312" w:eastAsia="仿宋_GB2312" w:cs="仿宋_GB2312"/>
                <w:color w:val="auto"/>
                <w:sz w:val="24"/>
                <w:szCs w:val="24"/>
                <w:highlight w:val="none"/>
              </w:rPr>
              <w:t>*-1</w:t>
            </w:r>
          </w:p>
        </w:tc>
        <w:tc>
          <w:tcPr>
            <w:tcW w:w="1187" w:type="dxa"/>
          </w:tcPr>
          <w:p w14:paraId="2B8DC0BF">
            <w:pPr>
              <w:rPr>
                <w:color w:val="auto"/>
                <w:sz w:val="24"/>
                <w:szCs w:val="24"/>
                <w:highlight w:val="none"/>
              </w:rPr>
            </w:pPr>
          </w:p>
        </w:tc>
        <w:tc>
          <w:tcPr>
            <w:tcW w:w="1187" w:type="dxa"/>
          </w:tcPr>
          <w:p w14:paraId="6E98AFAA">
            <w:pPr>
              <w:rPr>
                <w:color w:val="auto"/>
                <w:sz w:val="24"/>
                <w:szCs w:val="24"/>
                <w:highlight w:val="none"/>
              </w:rPr>
            </w:pPr>
          </w:p>
        </w:tc>
        <w:tc>
          <w:tcPr>
            <w:tcW w:w="1187" w:type="dxa"/>
          </w:tcPr>
          <w:p w14:paraId="415414F3">
            <w:pPr>
              <w:rPr>
                <w:color w:val="auto"/>
                <w:sz w:val="24"/>
                <w:szCs w:val="24"/>
                <w:highlight w:val="none"/>
              </w:rPr>
            </w:pPr>
          </w:p>
        </w:tc>
        <w:tc>
          <w:tcPr>
            <w:tcW w:w="1187" w:type="dxa"/>
          </w:tcPr>
          <w:p w14:paraId="341B4FE7">
            <w:pPr>
              <w:rPr>
                <w:color w:val="auto"/>
                <w:sz w:val="24"/>
                <w:szCs w:val="24"/>
                <w:highlight w:val="none"/>
              </w:rPr>
            </w:pPr>
          </w:p>
        </w:tc>
      </w:tr>
      <w:tr w14:paraId="4CF96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1CE8E908">
            <w:pPr>
              <w:rPr>
                <w:color w:val="auto"/>
                <w:sz w:val="24"/>
                <w:szCs w:val="24"/>
                <w:highlight w:val="none"/>
              </w:rPr>
            </w:pPr>
          </w:p>
        </w:tc>
        <w:tc>
          <w:tcPr>
            <w:tcW w:w="1187" w:type="dxa"/>
          </w:tcPr>
          <w:p w14:paraId="354A1B6C">
            <w:pPr>
              <w:pStyle w:val="11"/>
              <w:jc w:val="left"/>
              <w:rPr>
                <w:color w:val="auto"/>
                <w:sz w:val="24"/>
                <w:szCs w:val="24"/>
                <w:highlight w:val="none"/>
              </w:rPr>
            </w:pPr>
            <w:r>
              <w:rPr>
                <w:rFonts w:ascii="仿宋_GB2312" w:hAnsi="仿宋_GB2312" w:eastAsia="仿宋_GB2312" w:cs="仿宋_GB2312"/>
                <w:color w:val="auto"/>
                <w:sz w:val="24"/>
                <w:szCs w:val="24"/>
                <w:highlight w:val="none"/>
              </w:rPr>
              <w:t>…</w:t>
            </w:r>
          </w:p>
        </w:tc>
        <w:tc>
          <w:tcPr>
            <w:tcW w:w="1187" w:type="dxa"/>
          </w:tcPr>
          <w:p w14:paraId="7ABFB31F">
            <w:pPr>
              <w:rPr>
                <w:color w:val="auto"/>
                <w:sz w:val="24"/>
                <w:szCs w:val="24"/>
                <w:highlight w:val="none"/>
              </w:rPr>
            </w:pPr>
          </w:p>
        </w:tc>
        <w:tc>
          <w:tcPr>
            <w:tcW w:w="1187" w:type="dxa"/>
          </w:tcPr>
          <w:p w14:paraId="773152A5">
            <w:pPr>
              <w:rPr>
                <w:color w:val="auto"/>
                <w:sz w:val="24"/>
                <w:szCs w:val="24"/>
                <w:highlight w:val="none"/>
              </w:rPr>
            </w:pPr>
          </w:p>
        </w:tc>
        <w:tc>
          <w:tcPr>
            <w:tcW w:w="1187" w:type="dxa"/>
          </w:tcPr>
          <w:p w14:paraId="67843456">
            <w:pPr>
              <w:rPr>
                <w:color w:val="auto"/>
                <w:sz w:val="24"/>
                <w:szCs w:val="24"/>
                <w:highlight w:val="none"/>
              </w:rPr>
            </w:pPr>
          </w:p>
        </w:tc>
        <w:tc>
          <w:tcPr>
            <w:tcW w:w="1187" w:type="dxa"/>
          </w:tcPr>
          <w:p w14:paraId="5370A5AF">
            <w:pPr>
              <w:rPr>
                <w:color w:val="auto"/>
                <w:sz w:val="24"/>
                <w:szCs w:val="24"/>
                <w:highlight w:val="none"/>
              </w:rPr>
            </w:pPr>
          </w:p>
        </w:tc>
      </w:tr>
      <w:tr w14:paraId="4830C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E8FC7E6">
            <w:pPr>
              <w:pStyle w:val="11"/>
              <w:jc w:val="left"/>
              <w:rPr>
                <w:color w:val="auto"/>
                <w:sz w:val="24"/>
                <w:szCs w:val="24"/>
                <w:highlight w:val="none"/>
              </w:rPr>
            </w:pPr>
            <w:r>
              <w:rPr>
                <w:rFonts w:ascii="仿宋_GB2312" w:hAnsi="仿宋_GB2312" w:eastAsia="仿宋_GB2312" w:cs="仿宋_GB2312"/>
                <w:color w:val="auto"/>
                <w:sz w:val="24"/>
                <w:szCs w:val="24"/>
                <w:highlight w:val="none"/>
              </w:rPr>
              <w:t>…</w:t>
            </w:r>
          </w:p>
        </w:tc>
        <w:tc>
          <w:tcPr>
            <w:tcW w:w="1187" w:type="dxa"/>
          </w:tcPr>
          <w:p w14:paraId="4EC9B04E">
            <w:pPr>
              <w:rPr>
                <w:color w:val="auto"/>
                <w:sz w:val="24"/>
                <w:szCs w:val="24"/>
                <w:highlight w:val="none"/>
              </w:rPr>
            </w:pPr>
          </w:p>
        </w:tc>
        <w:tc>
          <w:tcPr>
            <w:tcW w:w="1187" w:type="dxa"/>
          </w:tcPr>
          <w:p w14:paraId="3D697898">
            <w:pPr>
              <w:rPr>
                <w:color w:val="auto"/>
                <w:sz w:val="24"/>
                <w:szCs w:val="24"/>
                <w:highlight w:val="none"/>
              </w:rPr>
            </w:pPr>
          </w:p>
        </w:tc>
        <w:tc>
          <w:tcPr>
            <w:tcW w:w="1187" w:type="dxa"/>
          </w:tcPr>
          <w:p w14:paraId="1B4774F0">
            <w:pPr>
              <w:rPr>
                <w:color w:val="auto"/>
                <w:sz w:val="24"/>
                <w:szCs w:val="24"/>
                <w:highlight w:val="none"/>
              </w:rPr>
            </w:pPr>
          </w:p>
        </w:tc>
        <w:tc>
          <w:tcPr>
            <w:tcW w:w="1187" w:type="dxa"/>
          </w:tcPr>
          <w:p w14:paraId="0DAA9D89">
            <w:pPr>
              <w:rPr>
                <w:color w:val="auto"/>
                <w:sz w:val="24"/>
                <w:szCs w:val="24"/>
                <w:highlight w:val="none"/>
              </w:rPr>
            </w:pPr>
          </w:p>
        </w:tc>
        <w:tc>
          <w:tcPr>
            <w:tcW w:w="1187" w:type="dxa"/>
          </w:tcPr>
          <w:p w14:paraId="4766B9F0">
            <w:pPr>
              <w:rPr>
                <w:color w:val="auto"/>
                <w:sz w:val="24"/>
                <w:szCs w:val="24"/>
                <w:highlight w:val="none"/>
              </w:rPr>
            </w:pPr>
          </w:p>
        </w:tc>
      </w:tr>
    </w:tbl>
    <w:p w14:paraId="555FC57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714863D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1、本表应按照下列规定填写：</w:t>
      </w:r>
    </w:p>
    <w:p w14:paraId="3949366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1.1“采购包”、“品目号”、“投标标的”及“数量”应与招标文件《采购标的一览表》中的有关内容（“采购包”、“品目号”、“采购标的”及“数量”）保持一致。</w:t>
      </w:r>
    </w:p>
    <w:p w14:paraId="44483EAE">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4714AB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25CE8E5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595A1C0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3、电子投标文件中涉及“投标标的”、“数量”、“规格”、“来源地”的内容若不一致，以投标客户端的投标（响应）报价明细表为准。</w:t>
      </w:r>
    </w:p>
    <w:p w14:paraId="19D99E93">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229319CF">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5F41CBC5">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299FFE07">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二、技术和服务要求响应表</w:t>
      </w:r>
    </w:p>
    <w:p w14:paraId="045BEFA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项目编号：</w:t>
      </w:r>
      <w:r>
        <w:rPr>
          <w:rFonts w:ascii="仿宋_GB2312" w:hAnsi="仿宋_GB2312" w:eastAsia="仿宋_GB2312" w:cs="仿宋_GB2312"/>
          <w:color w:val="auto"/>
          <w:sz w:val="24"/>
          <w:szCs w:val="24"/>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8CA1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C5DC95A">
            <w:pPr>
              <w:pStyle w:val="11"/>
              <w:jc w:val="left"/>
              <w:rPr>
                <w:color w:val="auto"/>
                <w:sz w:val="24"/>
                <w:szCs w:val="24"/>
                <w:highlight w:val="none"/>
              </w:rPr>
            </w:pPr>
            <w:r>
              <w:rPr>
                <w:rFonts w:ascii="仿宋_GB2312" w:hAnsi="仿宋_GB2312" w:eastAsia="仿宋_GB2312" w:cs="仿宋_GB2312"/>
                <w:color w:val="auto"/>
                <w:sz w:val="24"/>
                <w:szCs w:val="24"/>
                <w:highlight w:val="none"/>
              </w:rPr>
              <w:t>采购包</w:t>
            </w:r>
          </w:p>
        </w:tc>
        <w:tc>
          <w:tcPr>
            <w:tcW w:w="1661" w:type="dxa"/>
          </w:tcPr>
          <w:p w14:paraId="23201CE1">
            <w:pPr>
              <w:pStyle w:val="11"/>
              <w:jc w:val="left"/>
              <w:rPr>
                <w:color w:val="auto"/>
                <w:sz w:val="24"/>
                <w:szCs w:val="24"/>
                <w:highlight w:val="none"/>
              </w:rPr>
            </w:pPr>
            <w:r>
              <w:rPr>
                <w:rFonts w:ascii="仿宋_GB2312" w:hAnsi="仿宋_GB2312" w:eastAsia="仿宋_GB2312" w:cs="仿宋_GB2312"/>
                <w:color w:val="auto"/>
                <w:sz w:val="24"/>
                <w:szCs w:val="24"/>
                <w:highlight w:val="none"/>
              </w:rPr>
              <w:t>品目号</w:t>
            </w:r>
          </w:p>
        </w:tc>
        <w:tc>
          <w:tcPr>
            <w:tcW w:w="1661" w:type="dxa"/>
          </w:tcPr>
          <w:p w14:paraId="4BF288DA">
            <w:pPr>
              <w:pStyle w:val="11"/>
              <w:jc w:val="left"/>
              <w:rPr>
                <w:color w:val="auto"/>
                <w:sz w:val="24"/>
                <w:szCs w:val="24"/>
                <w:highlight w:val="none"/>
              </w:rPr>
            </w:pPr>
            <w:r>
              <w:rPr>
                <w:rFonts w:ascii="仿宋_GB2312" w:hAnsi="仿宋_GB2312" w:eastAsia="仿宋_GB2312" w:cs="仿宋_GB2312"/>
                <w:color w:val="auto"/>
                <w:sz w:val="24"/>
                <w:szCs w:val="24"/>
                <w:highlight w:val="none"/>
              </w:rPr>
              <w:t>技术和服务要求</w:t>
            </w:r>
          </w:p>
        </w:tc>
        <w:tc>
          <w:tcPr>
            <w:tcW w:w="1661" w:type="dxa"/>
          </w:tcPr>
          <w:p w14:paraId="2A050B5C">
            <w:pPr>
              <w:pStyle w:val="11"/>
              <w:jc w:val="left"/>
              <w:rPr>
                <w:color w:val="auto"/>
                <w:sz w:val="24"/>
                <w:szCs w:val="24"/>
                <w:highlight w:val="none"/>
              </w:rPr>
            </w:pPr>
            <w:r>
              <w:rPr>
                <w:rFonts w:ascii="仿宋_GB2312" w:hAnsi="仿宋_GB2312" w:eastAsia="仿宋_GB2312" w:cs="仿宋_GB2312"/>
                <w:color w:val="auto"/>
                <w:sz w:val="24"/>
                <w:szCs w:val="24"/>
                <w:highlight w:val="none"/>
              </w:rPr>
              <w:t>投标响应</w:t>
            </w:r>
          </w:p>
        </w:tc>
        <w:tc>
          <w:tcPr>
            <w:tcW w:w="1661" w:type="dxa"/>
          </w:tcPr>
          <w:p w14:paraId="77303632">
            <w:pPr>
              <w:pStyle w:val="11"/>
              <w:jc w:val="left"/>
              <w:rPr>
                <w:color w:val="auto"/>
                <w:sz w:val="24"/>
                <w:szCs w:val="24"/>
                <w:highlight w:val="none"/>
              </w:rPr>
            </w:pPr>
            <w:r>
              <w:rPr>
                <w:rFonts w:ascii="仿宋_GB2312" w:hAnsi="仿宋_GB2312" w:eastAsia="仿宋_GB2312" w:cs="仿宋_GB2312"/>
                <w:color w:val="auto"/>
                <w:sz w:val="24"/>
                <w:szCs w:val="24"/>
                <w:highlight w:val="none"/>
              </w:rPr>
              <w:t>是否偏离及说明</w:t>
            </w:r>
          </w:p>
        </w:tc>
      </w:tr>
      <w:tr w14:paraId="64C1C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513D5A5">
            <w:pPr>
              <w:pStyle w:val="11"/>
              <w:jc w:val="left"/>
              <w:rPr>
                <w:color w:val="auto"/>
                <w:sz w:val="24"/>
                <w:szCs w:val="24"/>
                <w:highlight w:val="none"/>
              </w:rPr>
            </w:pPr>
            <w:r>
              <w:rPr>
                <w:rFonts w:ascii="仿宋_GB2312" w:hAnsi="仿宋_GB2312" w:eastAsia="仿宋_GB2312" w:cs="仿宋_GB2312"/>
                <w:color w:val="auto"/>
                <w:sz w:val="24"/>
                <w:szCs w:val="24"/>
                <w:highlight w:val="none"/>
              </w:rPr>
              <w:t>*</w:t>
            </w:r>
          </w:p>
        </w:tc>
        <w:tc>
          <w:tcPr>
            <w:tcW w:w="1661" w:type="dxa"/>
          </w:tcPr>
          <w:p w14:paraId="670D00B8">
            <w:pPr>
              <w:pStyle w:val="11"/>
              <w:jc w:val="left"/>
              <w:rPr>
                <w:color w:val="auto"/>
                <w:sz w:val="24"/>
                <w:szCs w:val="24"/>
                <w:highlight w:val="none"/>
              </w:rPr>
            </w:pPr>
            <w:r>
              <w:rPr>
                <w:rFonts w:ascii="仿宋_GB2312" w:hAnsi="仿宋_GB2312" w:eastAsia="仿宋_GB2312" w:cs="仿宋_GB2312"/>
                <w:color w:val="auto"/>
                <w:sz w:val="24"/>
                <w:szCs w:val="24"/>
                <w:highlight w:val="none"/>
              </w:rPr>
              <w:t>*-1</w:t>
            </w:r>
          </w:p>
        </w:tc>
        <w:tc>
          <w:tcPr>
            <w:tcW w:w="1661" w:type="dxa"/>
          </w:tcPr>
          <w:p w14:paraId="1EC2256E">
            <w:pPr>
              <w:rPr>
                <w:color w:val="auto"/>
                <w:sz w:val="24"/>
                <w:szCs w:val="24"/>
                <w:highlight w:val="none"/>
              </w:rPr>
            </w:pPr>
          </w:p>
        </w:tc>
        <w:tc>
          <w:tcPr>
            <w:tcW w:w="1661" w:type="dxa"/>
          </w:tcPr>
          <w:p w14:paraId="79917365">
            <w:pPr>
              <w:rPr>
                <w:color w:val="auto"/>
                <w:sz w:val="24"/>
                <w:szCs w:val="24"/>
                <w:highlight w:val="none"/>
              </w:rPr>
            </w:pPr>
          </w:p>
        </w:tc>
        <w:tc>
          <w:tcPr>
            <w:tcW w:w="1661" w:type="dxa"/>
          </w:tcPr>
          <w:p w14:paraId="1FD78F5F">
            <w:pPr>
              <w:rPr>
                <w:color w:val="auto"/>
                <w:sz w:val="24"/>
                <w:szCs w:val="24"/>
                <w:highlight w:val="none"/>
              </w:rPr>
            </w:pPr>
          </w:p>
        </w:tc>
      </w:tr>
      <w:tr w14:paraId="1E9DB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BC3D4F2">
            <w:pPr>
              <w:rPr>
                <w:color w:val="auto"/>
                <w:sz w:val="24"/>
                <w:szCs w:val="24"/>
                <w:highlight w:val="none"/>
              </w:rPr>
            </w:pPr>
          </w:p>
        </w:tc>
        <w:tc>
          <w:tcPr>
            <w:tcW w:w="1661" w:type="dxa"/>
          </w:tcPr>
          <w:p w14:paraId="33B2D788">
            <w:pPr>
              <w:pStyle w:val="11"/>
              <w:jc w:val="left"/>
              <w:rPr>
                <w:color w:val="auto"/>
                <w:sz w:val="24"/>
                <w:szCs w:val="24"/>
                <w:highlight w:val="none"/>
              </w:rPr>
            </w:pPr>
            <w:r>
              <w:rPr>
                <w:rFonts w:ascii="仿宋_GB2312" w:hAnsi="仿宋_GB2312" w:eastAsia="仿宋_GB2312" w:cs="仿宋_GB2312"/>
                <w:color w:val="auto"/>
                <w:sz w:val="24"/>
                <w:szCs w:val="24"/>
                <w:highlight w:val="none"/>
              </w:rPr>
              <w:t>…</w:t>
            </w:r>
          </w:p>
        </w:tc>
        <w:tc>
          <w:tcPr>
            <w:tcW w:w="1661" w:type="dxa"/>
          </w:tcPr>
          <w:p w14:paraId="2ED80246">
            <w:pPr>
              <w:rPr>
                <w:color w:val="auto"/>
                <w:sz w:val="24"/>
                <w:szCs w:val="24"/>
                <w:highlight w:val="none"/>
              </w:rPr>
            </w:pPr>
          </w:p>
        </w:tc>
        <w:tc>
          <w:tcPr>
            <w:tcW w:w="1661" w:type="dxa"/>
          </w:tcPr>
          <w:p w14:paraId="761B2C62">
            <w:pPr>
              <w:rPr>
                <w:color w:val="auto"/>
                <w:sz w:val="24"/>
                <w:szCs w:val="24"/>
                <w:highlight w:val="none"/>
              </w:rPr>
            </w:pPr>
          </w:p>
        </w:tc>
        <w:tc>
          <w:tcPr>
            <w:tcW w:w="1661" w:type="dxa"/>
          </w:tcPr>
          <w:p w14:paraId="17E73FD1">
            <w:pPr>
              <w:rPr>
                <w:color w:val="auto"/>
                <w:sz w:val="24"/>
                <w:szCs w:val="24"/>
                <w:highlight w:val="none"/>
              </w:rPr>
            </w:pPr>
          </w:p>
        </w:tc>
      </w:tr>
      <w:tr w14:paraId="21B0D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A498DA5">
            <w:pPr>
              <w:pStyle w:val="11"/>
              <w:jc w:val="left"/>
              <w:rPr>
                <w:color w:val="auto"/>
                <w:sz w:val="24"/>
                <w:szCs w:val="24"/>
                <w:highlight w:val="none"/>
              </w:rPr>
            </w:pPr>
            <w:r>
              <w:rPr>
                <w:rFonts w:ascii="仿宋_GB2312" w:hAnsi="仿宋_GB2312" w:eastAsia="仿宋_GB2312" w:cs="仿宋_GB2312"/>
                <w:color w:val="auto"/>
                <w:sz w:val="24"/>
                <w:szCs w:val="24"/>
                <w:highlight w:val="none"/>
              </w:rPr>
              <w:t>…</w:t>
            </w:r>
          </w:p>
        </w:tc>
        <w:tc>
          <w:tcPr>
            <w:tcW w:w="1661" w:type="dxa"/>
          </w:tcPr>
          <w:p w14:paraId="37A939DE">
            <w:pPr>
              <w:rPr>
                <w:color w:val="auto"/>
                <w:sz w:val="24"/>
                <w:szCs w:val="24"/>
                <w:highlight w:val="none"/>
              </w:rPr>
            </w:pPr>
          </w:p>
        </w:tc>
        <w:tc>
          <w:tcPr>
            <w:tcW w:w="1661" w:type="dxa"/>
          </w:tcPr>
          <w:p w14:paraId="79489D92">
            <w:pPr>
              <w:rPr>
                <w:color w:val="auto"/>
                <w:sz w:val="24"/>
                <w:szCs w:val="24"/>
                <w:highlight w:val="none"/>
              </w:rPr>
            </w:pPr>
          </w:p>
        </w:tc>
        <w:tc>
          <w:tcPr>
            <w:tcW w:w="1661" w:type="dxa"/>
          </w:tcPr>
          <w:p w14:paraId="02145739">
            <w:pPr>
              <w:rPr>
                <w:color w:val="auto"/>
                <w:sz w:val="24"/>
                <w:szCs w:val="24"/>
                <w:highlight w:val="none"/>
              </w:rPr>
            </w:pPr>
          </w:p>
        </w:tc>
        <w:tc>
          <w:tcPr>
            <w:tcW w:w="1661" w:type="dxa"/>
          </w:tcPr>
          <w:p w14:paraId="43037028">
            <w:pPr>
              <w:rPr>
                <w:color w:val="auto"/>
                <w:sz w:val="24"/>
                <w:szCs w:val="24"/>
                <w:highlight w:val="none"/>
              </w:rPr>
            </w:pPr>
          </w:p>
        </w:tc>
      </w:tr>
    </w:tbl>
    <w:p w14:paraId="70E46BDC">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72C0089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1、本表应按照下列规定填写：</w:t>
      </w:r>
    </w:p>
    <w:p w14:paraId="7D9AF9E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1.1“技术和服务要求”项下填写的内容应与招标文件第五章“技术和服务要求”的内容保持一致。</w:t>
      </w:r>
    </w:p>
    <w:p w14:paraId="6776B6B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BFD89D2">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1.3“是否偏离及说明”项下应按下列规定填写：优于的，填写“正偏离”；符合的，填写“无偏离”；低于的，填写“负偏离”。</w:t>
      </w:r>
    </w:p>
    <w:p w14:paraId="34E89391">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07972C02">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04326EC1">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34BA1332">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0AC7C435">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三、商务条件响应表</w:t>
      </w:r>
    </w:p>
    <w:p w14:paraId="22DC366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项目编号：</w:t>
      </w:r>
      <w:r>
        <w:rPr>
          <w:rFonts w:ascii="仿宋_GB2312" w:hAnsi="仿宋_GB2312" w:eastAsia="仿宋_GB2312" w:cs="仿宋_GB2312"/>
          <w:color w:val="auto"/>
          <w:sz w:val="24"/>
          <w:szCs w:val="24"/>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D291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8F60CD">
            <w:pPr>
              <w:pStyle w:val="11"/>
              <w:jc w:val="left"/>
              <w:rPr>
                <w:color w:val="auto"/>
                <w:sz w:val="24"/>
                <w:szCs w:val="24"/>
                <w:highlight w:val="none"/>
              </w:rPr>
            </w:pPr>
            <w:r>
              <w:rPr>
                <w:rFonts w:ascii="仿宋_GB2312" w:hAnsi="仿宋_GB2312" w:eastAsia="仿宋_GB2312" w:cs="仿宋_GB2312"/>
                <w:color w:val="auto"/>
                <w:sz w:val="24"/>
                <w:szCs w:val="24"/>
                <w:highlight w:val="none"/>
              </w:rPr>
              <w:t>采购包</w:t>
            </w:r>
          </w:p>
        </w:tc>
        <w:tc>
          <w:tcPr>
            <w:tcW w:w="1661" w:type="dxa"/>
          </w:tcPr>
          <w:p w14:paraId="7AB13E14">
            <w:pPr>
              <w:pStyle w:val="11"/>
              <w:jc w:val="left"/>
              <w:rPr>
                <w:color w:val="auto"/>
                <w:sz w:val="24"/>
                <w:szCs w:val="24"/>
                <w:highlight w:val="none"/>
              </w:rPr>
            </w:pPr>
            <w:r>
              <w:rPr>
                <w:rFonts w:ascii="仿宋_GB2312" w:hAnsi="仿宋_GB2312" w:eastAsia="仿宋_GB2312" w:cs="仿宋_GB2312"/>
                <w:color w:val="auto"/>
                <w:sz w:val="24"/>
                <w:szCs w:val="24"/>
                <w:highlight w:val="none"/>
              </w:rPr>
              <w:t>品目号</w:t>
            </w:r>
          </w:p>
        </w:tc>
        <w:tc>
          <w:tcPr>
            <w:tcW w:w="1661" w:type="dxa"/>
          </w:tcPr>
          <w:p w14:paraId="79AAA3D5">
            <w:pPr>
              <w:pStyle w:val="11"/>
              <w:jc w:val="left"/>
              <w:rPr>
                <w:color w:val="auto"/>
                <w:sz w:val="24"/>
                <w:szCs w:val="24"/>
                <w:highlight w:val="none"/>
              </w:rPr>
            </w:pPr>
            <w:r>
              <w:rPr>
                <w:rFonts w:ascii="仿宋_GB2312" w:hAnsi="仿宋_GB2312" w:eastAsia="仿宋_GB2312" w:cs="仿宋_GB2312"/>
                <w:color w:val="auto"/>
                <w:sz w:val="24"/>
                <w:szCs w:val="24"/>
                <w:highlight w:val="none"/>
              </w:rPr>
              <w:t>商务条件</w:t>
            </w:r>
          </w:p>
        </w:tc>
        <w:tc>
          <w:tcPr>
            <w:tcW w:w="1661" w:type="dxa"/>
          </w:tcPr>
          <w:p w14:paraId="7F715C43">
            <w:pPr>
              <w:pStyle w:val="11"/>
              <w:jc w:val="left"/>
              <w:rPr>
                <w:color w:val="auto"/>
                <w:sz w:val="24"/>
                <w:szCs w:val="24"/>
                <w:highlight w:val="none"/>
              </w:rPr>
            </w:pPr>
            <w:r>
              <w:rPr>
                <w:rFonts w:ascii="仿宋_GB2312" w:hAnsi="仿宋_GB2312" w:eastAsia="仿宋_GB2312" w:cs="仿宋_GB2312"/>
                <w:color w:val="auto"/>
                <w:sz w:val="24"/>
                <w:szCs w:val="24"/>
                <w:highlight w:val="none"/>
              </w:rPr>
              <w:t>投标响应</w:t>
            </w:r>
          </w:p>
        </w:tc>
        <w:tc>
          <w:tcPr>
            <w:tcW w:w="1661" w:type="dxa"/>
          </w:tcPr>
          <w:p w14:paraId="4DABF211">
            <w:pPr>
              <w:pStyle w:val="11"/>
              <w:jc w:val="left"/>
              <w:rPr>
                <w:color w:val="auto"/>
                <w:sz w:val="24"/>
                <w:szCs w:val="24"/>
                <w:highlight w:val="none"/>
              </w:rPr>
            </w:pPr>
            <w:r>
              <w:rPr>
                <w:rFonts w:ascii="仿宋_GB2312" w:hAnsi="仿宋_GB2312" w:eastAsia="仿宋_GB2312" w:cs="仿宋_GB2312"/>
                <w:color w:val="auto"/>
                <w:sz w:val="24"/>
                <w:szCs w:val="24"/>
                <w:highlight w:val="none"/>
              </w:rPr>
              <w:t>是否偏离及说明</w:t>
            </w:r>
          </w:p>
        </w:tc>
      </w:tr>
      <w:tr w14:paraId="6B452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6287C18">
            <w:pPr>
              <w:pStyle w:val="11"/>
              <w:jc w:val="left"/>
              <w:rPr>
                <w:color w:val="auto"/>
                <w:sz w:val="24"/>
                <w:szCs w:val="24"/>
                <w:highlight w:val="none"/>
              </w:rPr>
            </w:pPr>
            <w:r>
              <w:rPr>
                <w:rFonts w:ascii="仿宋_GB2312" w:hAnsi="仿宋_GB2312" w:eastAsia="仿宋_GB2312" w:cs="仿宋_GB2312"/>
                <w:color w:val="auto"/>
                <w:sz w:val="24"/>
                <w:szCs w:val="24"/>
                <w:highlight w:val="none"/>
              </w:rPr>
              <w:t>*</w:t>
            </w:r>
          </w:p>
        </w:tc>
        <w:tc>
          <w:tcPr>
            <w:tcW w:w="1661" w:type="dxa"/>
          </w:tcPr>
          <w:p w14:paraId="2EB312DC">
            <w:pPr>
              <w:pStyle w:val="11"/>
              <w:jc w:val="left"/>
              <w:rPr>
                <w:color w:val="auto"/>
                <w:sz w:val="24"/>
                <w:szCs w:val="24"/>
                <w:highlight w:val="none"/>
              </w:rPr>
            </w:pPr>
            <w:r>
              <w:rPr>
                <w:rFonts w:ascii="仿宋_GB2312" w:hAnsi="仿宋_GB2312" w:eastAsia="仿宋_GB2312" w:cs="仿宋_GB2312"/>
                <w:color w:val="auto"/>
                <w:sz w:val="24"/>
                <w:szCs w:val="24"/>
                <w:highlight w:val="none"/>
              </w:rPr>
              <w:t>*-1</w:t>
            </w:r>
          </w:p>
        </w:tc>
        <w:tc>
          <w:tcPr>
            <w:tcW w:w="1661" w:type="dxa"/>
          </w:tcPr>
          <w:p w14:paraId="6F4B7046">
            <w:pPr>
              <w:rPr>
                <w:color w:val="auto"/>
                <w:sz w:val="24"/>
                <w:szCs w:val="24"/>
                <w:highlight w:val="none"/>
              </w:rPr>
            </w:pPr>
          </w:p>
        </w:tc>
        <w:tc>
          <w:tcPr>
            <w:tcW w:w="1661" w:type="dxa"/>
          </w:tcPr>
          <w:p w14:paraId="212DCD84">
            <w:pPr>
              <w:rPr>
                <w:color w:val="auto"/>
                <w:sz w:val="24"/>
                <w:szCs w:val="24"/>
                <w:highlight w:val="none"/>
              </w:rPr>
            </w:pPr>
          </w:p>
        </w:tc>
        <w:tc>
          <w:tcPr>
            <w:tcW w:w="1661" w:type="dxa"/>
          </w:tcPr>
          <w:p w14:paraId="677D7183">
            <w:pPr>
              <w:rPr>
                <w:color w:val="auto"/>
                <w:sz w:val="24"/>
                <w:szCs w:val="24"/>
                <w:highlight w:val="none"/>
              </w:rPr>
            </w:pPr>
          </w:p>
        </w:tc>
      </w:tr>
      <w:tr w14:paraId="6A0BB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C13A851">
            <w:pPr>
              <w:rPr>
                <w:color w:val="auto"/>
                <w:sz w:val="24"/>
                <w:szCs w:val="24"/>
                <w:highlight w:val="none"/>
              </w:rPr>
            </w:pPr>
          </w:p>
        </w:tc>
        <w:tc>
          <w:tcPr>
            <w:tcW w:w="1661" w:type="dxa"/>
          </w:tcPr>
          <w:p w14:paraId="690EC7A0">
            <w:pPr>
              <w:pStyle w:val="11"/>
              <w:jc w:val="left"/>
              <w:rPr>
                <w:color w:val="auto"/>
                <w:sz w:val="24"/>
                <w:szCs w:val="24"/>
                <w:highlight w:val="none"/>
              </w:rPr>
            </w:pPr>
            <w:r>
              <w:rPr>
                <w:rFonts w:ascii="仿宋_GB2312" w:hAnsi="仿宋_GB2312" w:eastAsia="仿宋_GB2312" w:cs="仿宋_GB2312"/>
                <w:color w:val="auto"/>
                <w:sz w:val="24"/>
                <w:szCs w:val="24"/>
                <w:highlight w:val="none"/>
              </w:rPr>
              <w:t>…</w:t>
            </w:r>
          </w:p>
        </w:tc>
        <w:tc>
          <w:tcPr>
            <w:tcW w:w="1661" w:type="dxa"/>
          </w:tcPr>
          <w:p w14:paraId="0E66F351">
            <w:pPr>
              <w:rPr>
                <w:color w:val="auto"/>
                <w:sz w:val="24"/>
                <w:szCs w:val="24"/>
                <w:highlight w:val="none"/>
              </w:rPr>
            </w:pPr>
          </w:p>
        </w:tc>
        <w:tc>
          <w:tcPr>
            <w:tcW w:w="1661" w:type="dxa"/>
          </w:tcPr>
          <w:p w14:paraId="6438C32A">
            <w:pPr>
              <w:rPr>
                <w:color w:val="auto"/>
                <w:sz w:val="24"/>
                <w:szCs w:val="24"/>
                <w:highlight w:val="none"/>
              </w:rPr>
            </w:pPr>
          </w:p>
        </w:tc>
        <w:tc>
          <w:tcPr>
            <w:tcW w:w="1661" w:type="dxa"/>
          </w:tcPr>
          <w:p w14:paraId="52E2C992">
            <w:pPr>
              <w:rPr>
                <w:color w:val="auto"/>
                <w:sz w:val="24"/>
                <w:szCs w:val="24"/>
                <w:highlight w:val="none"/>
              </w:rPr>
            </w:pPr>
          </w:p>
        </w:tc>
      </w:tr>
      <w:tr w14:paraId="2CE0C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C60BA30">
            <w:pPr>
              <w:pStyle w:val="11"/>
              <w:jc w:val="left"/>
              <w:rPr>
                <w:color w:val="auto"/>
                <w:sz w:val="24"/>
                <w:szCs w:val="24"/>
                <w:highlight w:val="none"/>
              </w:rPr>
            </w:pPr>
            <w:r>
              <w:rPr>
                <w:rFonts w:ascii="仿宋_GB2312" w:hAnsi="仿宋_GB2312" w:eastAsia="仿宋_GB2312" w:cs="仿宋_GB2312"/>
                <w:color w:val="auto"/>
                <w:sz w:val="24"/>
                <w:szCs w:val="24"/>
                <w:highlight w:val="none"/>
              </w:rPr>
              <w:t>…</w:t>
            </w:r>
          </w:p>
        </w:tc>
        <w:tc>
          <w:tcPr>
            <w:tcW w:w="1661" w:type="dxa"/>
          </w:tcPr>
          <w:p w14:paraId="284AE8C7">
            <w:pPr>
              <w:rPr>
                <w:color w:val="auto"/>
                <w:sz w:val="24"/>
                <w:szCs w:val="24"/>
                <w:highlight w:val="none"/>
              </w:rPr>
            </w:pPr>
          </w:p>
        </w:tc>
        <w:tc>
          <w:tcPr>
            <w:tcW w:w="1661" w:type="dxa"/>
          </w:tcPr>
          <w:p w14:paraId="3A917C33">
            <w:pPr>
              <w:rPr>
                <w:color w:val="auto"/>
                <w:sz w:val="24"/>
                <w:szCs w:val="24"/>
                <w:highlight w:val="none"/>
              </w:rPr>
            </w:pPr>
          </w:p>
        </w:tc>
        <w:tc>
          <w:tcPr>
            <w:tcW w:w="1661" w:type="dxa"/>
          </w:tcPr>
          <w:p w14:paraId="3A568624">
            <w:pPr>
              <w:rPr>
                <w:color w:val="auto"/>
                <w:sz w:val="24"/>
                <w:szCs w:val="24"/>
                <w:highlight w:val="none"/>
              </w:rPr>
            </w:pPr>
          </w:p>
        </w:tc>
        <w:tc>
          <w:tcPr>
            <w:tcW w:w="1661" w:type="dxa"/>
          </w:tcPr>
          <w:p w14:paraId="48272E4D">
            <w:pPr>
              <w:rPr>
                <w:color w:val="auto"/>
                <w:sz w:val="24"/>
                <w:szCs w:val="24"/>
                <w:highlight w:val="none"/>
              </w:rPr>
            </w:pPr>
          </w:p>
        </w:tc>
      </w:tr>
    </w:tbl>
    <w:p w14:paraId="0C5FA56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※注意：</w:t>
      </w:r>
    </w:p>
    <w:p w14:paraId="5F87663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1、本表应按照下列规定填写：</w:t>
      </w:r>
    </w:p>
    <w:p w14:paraId="66545C3B">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1.1“商务条件”项下填写的内容应与招标文件第五章“商务条件”的内容保持一致。</w:t>
      </w:r>
    </w:p>
    <w:p w14:paraId="1FA5D700">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1.2“投标响应”项下应填写具体的响应内容并与“商务条件”项下填写的内容逐项对应；对“商务条件”项下涉及“≥或＞”、“≤或＜”及某个区间值范围内的内容，应填写具体的数值。</w:t>
      </w:r>
    </w:p>
    <w:p w14:paraId="76D5E24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1.3“是否偏离及说明”项下应按下列规定填写：优于的，填写“正偏离”；符合的，填写“无偏离”；低于的，填写“负偏离”。</w:t>
      </w:r>
    </w:p>
    <w:p w14:paraId="65FE3DCA">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51E3E018">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674354CB">
      <w:pPr>
        <w:pStyle w:val="11"/>
        <w:ind w:firstLine="480"/>
        <w:jc w:val="right"/>
        <w:rPr>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74E1453F">
      <w:pPr>
        <w:pStyle w:val="11"/>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4B7D5294">
      <w:pPr>
        <w:pStyle w:val="11"/>
        <w:jc w:val="center"/>
        <w:outlineLvl w:val="2"/>
        <w:rPr>
          <w:color w:val="auto"/>
          <w:sz w:val="24"/>
          <w:szCs w:val="24"/>
          <w:highlight w:val="none"/>
        </w:rPr>
      </w:pPr>
      <w:r>
        <w:rPr>
          <w:rFonts w:ascii="仿宋_GB2312" w:hAnsi="仿宋_GB2312" w:eastAsia="仿宋_GB2312" w:cs="仿宋_GB2312"/>
          <w:b/>
          <w:color w:val="auto"/>
          <w:sz w:val="24"/>
          <w:szCs w:val="24"/>
          <w:highlight w:val="none"/>
        </w:rPr>
        <w:t>四、投标人提交的其他资料（若有）</w:t>
      </w:r>
    </w:p>
    <w:p w14:paraId="4B98BDDF">
      <w:pPr>
        <w:pStyle w:val="11"/>
        <w:ind w:firstLine="480"/>
        <w:jc w:val="center"/>
        <w:rPr>
          <w:color w:val="auto"/>
          <w:sz w:val="24"/>
          <w:szCs w:val="24"/>
          <w:highlight w:val="none"/>
        </w:rPr>
      </w:pPr>
      <w:r>
        <w:rPr>
          <w:rFonts w:ascii="仿宋_GB2312" w:hAnsi="仿宋_GB2312" w:eastAsia="仿宋_GB2312" w:cs="仿宋_GB2312"/>
          <w:color w:val="auto"/>
          <w:sz w:val="24"/>
          <w:szCs w:val="24"/>
          <w:highlight w:val="none"/>
        </w:rPr>
        <w:t>编制说明</w:t>
      </w:r>
    </w:p>
    <w:p w14:paraId="0BA7A80F">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1、招标文件要求提交的除“资格及资信证明部分”、“报价部分”外的其他证明材料或资料加盖投标人的单位公章后应在此项下提交。</w:t>
      </w:r>
    </w:p>
    <w:p w14:paraId="452DBFD8">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2、招标文件要求投标人提供方案（包括但不限于：组织、实施、技术、服务方案等）的，投标人应在此项下提交。</w:t>
      </w:r>
    </w:p>
    <w:p w14:paraId="5E301C0D">
      <w:pPr>
        <w:pStyle w:val="11"/>
        <w:ind w:firstLine="480"/>
        <w:jc w:val="left"/>
        <w:rPr>
          <w:color w:val="auto"/>
          <w:sz w:val="24"/>
          <w:szCs w:val="24"/>
          <w:highlight w:val="none"/>
        </w:rPr>
      </w:pPr>
      <w:r>
        <w:rPr>
          <w:rFonts w:ascii="仿宋_GB2312" w:hAnsi="仿宋_GB2312" w:eastAsia="仿宋_GB2312" w:cs="仿宋_GB2312"/>
          <w:color w:val="auto"/>
          <w:sz w:val="24"/>
          <w:szCs w:val="24"/>
          <w:highlight w:val="none"/>
        </w:rPr>
        <w:t>3、除招标文件另有规定外，投标人认为需要提交的其他证明材料或资料加盖投标人的单位公章后应在此项下提交。</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758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7A0C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77A0C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D31F17"/>
    <w:rsid w:val="03E72B61"/>
    <w:rsid w:val="04F74384"/>
    <w:rsid w:val="06C27109"/>
    <w:rsid w:val="0B674E7F"/>
    <w:rsid w:val="0EBF310F"/>
    <w:rsid w:val="0FE02B1D"/>
    <w:rsid w:val="10C64675"/>
    <w:rsid w:val="11010836"/>
    <w:rsid w:val="117C5F87"/>
    <w:rsid w:val="11944B05"/>
    <w:rsid w:val="12F2655F"/>
    <w:rsid w:val="12FF0AE7"/>
    <w:rsid w:val="133C3E71"/>
    <w:rsid w:val="14425B91"/>
    <w:rsid w:val="146F4EE8"/>
    <w:rsid w:val="14A93A4C"/>
    <w:rsid w:val="166F5D98"/>
    <w:rsid w:val="177F50ED"/>
    <w:rsid w:val="17E4365B"/>
    <w:rsid w:val="19D92AF4"/>
    <w:rsid w:val="1B44217F"/>
    <w:rsid w:val="1BF81CE0"/>
    <w:rsid w:val="1CDE7453"/>
    <w:rsid w:val="1DE27E23"/>
    <w:rsid w:val="1F250B49"/>
    <w:rsid w:val="22351DDE"/>
    <w:rsid w:val="2428469D"/>
    <w:rsid w:val="24F0491A"/>
    <w:rsid w:val="25970FCE"/>
    <w:rsid w:val="25D21167"/>
    <w:rsid w:val="269D4A53"/>
    <w:rsid w:val="2B9C75C8"/>
    <w:rsid w:val="2BF934A6"/>
    <w:rsid w:val="305D754F"/>
    <w:rsid w:val="315A0875"/>
    <w:rsid w:val="34046BF8"/>
    <w:rsid w:val="35F00159"/>
    <w:rsid w:val="36FB3B90"/>
    <w:rsid w:val="371D63FC"/>
    <w:rsid w:val="373E541E"/>
    <w:rsid w:val="384F0C8B"/>
    <w:rsid w:val="38C65646"/>
    <w:rsid w:val="39CE67E8"/>
    <w:rsid w:val="3A520B2C"/>
    <w:rsid w:val="3B4262F3"/>
    <w:rsid w:val="3BF70E8C"/>
    <w:rsid w:val="3D7B611D"/>
    <w:rsid w:val="3D850719"/>
    <w:rsid w:val="3F45587D"/>
    <w:rsid w:val="40E50A74"/>
    <w:rsid w:val="41175937"/>
    <w:rsid w:val="43151221"/>
    <w:rsid w:val="4391165C"/>
    <w:rsid w:val="47A82712"/>
    <w:rsid w:val="48587156"/>
    <w:rsid w:val="49FC2EA8"/>
    <w:rsid w:val="4A0D26C2"/>
    <w:rsid w:val="4D1E654F"/>
    <w:rsid w:val="4D7C38E7"/>
    <w:rsid w:val="4FD615AF"/>
    <w:rsid w:val="51CF158A"/>
    <w:rsid w:val="52AB022F"/>
    <w:rsid w:val="53A279D6"/>
    <w:rsid w:val="53B52B8D"/>
    <w:rsid w:val="549D30A9"/>
    <w:rsid w:val="54C55B73"/>
    <w:rsid w:val="59651335"/>
    <w:rsid w:val="5A6776CD"/>
    <w:rsid w:val="5AFF46AA"/>
    <w:rsid w:val="5CBD35D4"/>
    <w:rsid w:val="5E380F5F"/>
    <w:rsid w:val="5E6B1115"/>
    <w:rsid w:val="5ED24EA9"/>
    <w:rsid w:val="603B5589"/>
    <w:rsid w:val="64B27796"/>
    <w:rsid w:val="65E028E7"/>
    <w:rsid w:val="6773320D"/>
    <w:rsid w:val="68462934"/>
    <w:rsid w:val="6AA277E9"/>
    <w:rsid w:val="6B391DC8"/>
    <w:rsid w:val="6BCC3834"/>
    <w:rsid w:val="6D13385F"/>
    <w:rsid w:val="6F2776C4"/>
    <w:rsid w:val="724C7F67"/>
    <w:rsid w:val="73353A6E"/>
    <w:rsid w:val="7387065D"/>
    <w:rsid w:val="75446D82"/>
    <w:rsid w:val="754504B4"/>
    <w:rsid w:val="77F79321"/>
    <w:rsid w:val="78F576C3"/>
    <w:rsid w:val="7A2E1121"/>
    <w:rsid w:val="7A831561"/>
    <w:rsid w:val="7AE9385F"/>
    <w:rsid w:val="7CD40D8A"/>
    <w:rsid w:val="7EB7241F"/>
    <w:rsid w:val="7FFF403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7">
    <w:name w:val="Body Text First Indent"/>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8"/>
      <w:szCs w:val="28"/>
      <w:lang w:val="en-US" w:eastAsia="zh-CN" w:bidi="ar"/>
    </w:rPr>
  </w:style>
  <w:style w:type="paragraph" w:customStyle="1" w:styleId="10">
    <w:name w:val="表格文字"/>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Times New Roman"/>
      <w:bCs/>
      <w:kern w:val="2"/>
      <w:sz w:val="24"/>
      <w:szCs w:val="24"/>
      <w:lang w:val="en-US" w:eastAsia="zh-CN" w:bidi="ar"/>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黑体" w:hAnsi="Times New Roman" w:eastAsia="黑体" w:cs="黑体"/>
      <w:color w:val="000000"/>
      <w:kern w:val="0"/>
      <w:sz w:val="24"/>
      <w:szCs w:val="24"/>
      <w:lang w:val="en-US" w:eastAsia="zh-CN" w:bidi="ar"/>
    </w:rPr>
  </w:style>
  <w:style w:type="paragraph" w:customStyle="1" w:styleId="13">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14">
    <w:name w:val="font21"/>
    <w:basedOn w:val="9"/>
    <w:qFormat/>
    <w:uiPriority w:val="0"/>
    <w:rPr>
      <w:rFonts w:hint="eastAsia" w:ascii="宋体" w:hAnsi="宋体" w:eastAsia="宋体" w:cs="宋体"/>
      <w:color w:val="FF0000"/>
      <w:sz w:val="24"/>
      <w:szCs w:val="24"/>
      <w:u w:val="none"/>
    </w:rPr>
  </w:style>
  <w:style w:type="character" w:customStyle="1" w:styleId="15">
    <w:name w:val="font71"/>
    <w:basedOn w:val="9"/>
    <w:qFormat/>
    <w:uiPriority w:val="0"/>
    <w:rPr>
      <w:rFonts w:ascii="Calibri" w:hAnsi="Calibri" w:cs="Calibri"/>
      <w:color w:val="FF0000"/>
      <w:sz w:val="24"/>
      <w:szCs w:val="24"/>
      <w:u w:val="none"/>
    </w:rPr>
  </w:style>
  <w:style w:type="character" w:customStyle="1" w:styleId="16">
    <w:name w:val="font81"/>
    <w:basedOn w:val="9"/>
    <w:qFormat/>
    <w:uiPriority w:val="0"/>
    <w:rPr>
      <w:rFonts w:ascii="微软雅黑" w:hAnsi="微软雅黑" w:eastAsia="微软雅黑" w:cs="微软雅黑"/>
      <w:color w:val="000000"/>
      <w:sz w:val="24"/>
      <w:szCs w:val="24"/>
      <w:u w:val="none"/>
    </w:rPr>
  </w:style>
  <w:style w:type="character" w:customStyle="1" w:styleId="17">
    <w:name w:val="font31"/>
    <w:basedOn w:val="9"/>
    <w:qFormat/>
    <w:uiPriority w:val="0"/>
    <w:rPr>
      <w:rFonts w:hint="eastAsia" w:ascii="宋体" w:hAnsi="宋体" w:eastAsia="宋体" w:cs="宋体"/>
      <w:color w:val="000000"/>
      <w:sz w:val="24"/>
      <w:szCs w:val="24"/>
      <w:u w:val="none"/>
    </w:rPr>
  </w:style>
  <w:style w:type="character" w:customStyle="1" w:styleId="18">
    <w:name w:val="font91"/>
    <w:basedOn w:val="9"/>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1768</Words>
  <Characters>1886</Characters>
  <Lines>0</Lines>
  <Paragraphs>0</Paragraphs>
  <TotalTime>19</TotalTime>
  <ScaleCrop>false</ScaleCrop>
  <LinksUpToDate>false</LinksUpToDate>
  <CharactersWithSpaces>1923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小柯</cp:lastModifiedBy>
  <dcterms:modified xsi:type="dcterms:W3CDTF">2026-03-04T06:50:31Z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1DF11BE3B0614F7593793AC4C15C213C_12</vt:lpwstr>
  </property>
  <property fmtid="{D5CDD505-2E9C-101B-9397-08002B2CF9AE}" pid="4" name="KSOTemplateDocerSaveRecord">
    <vt:lpwstr>eyJoZGlkIjoiMDA2ZTI1MDM2OGI1MzNjZTJhNzU0MWU5Y2M1MWI3M2YiLCJ1c2VySWQiOiI0NDcwNTE0ODgifQ==</vt:lpwstr>
  </property>
</Properties>
</file>