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EFFDE0">
      <w:pPr>
        <w:ind w:firstLine="240" w:firstLineChars="100"/>
        <w:rPr>
          <w:rFonts w:hint="eastAsia" w:ascii="宋体" w:hAnsi="宋体" w:eastAsia="宋体" w:cs="宋体"/>
          <w:sz w:val="24"/>
          <w:szCs w:val="24"/>
        </w:rPr>
      </w:pPr>
    </w:p>
    <w:p w14:paraId="10D3DB4F">
      <w:pPr>
        <w:jc w:val="left"/>
        <w:rPr>
          <w:rFonts w:hint="eastAsia" w:ascii="宋体" w:hAnsi="宋体" w:eastAsia="宋体" w:cs="宋体"/>
          <w:sz w:val="24"/>
          <w:szCs w:val="24"/>
        </w:rPr>
      </w:pPr>
    </w:p>
    <w:p w14:paraId="02D98118">
      <w:pPr>
        <w:jc w:val="left"/>
        <w:rPr>
          <w:rFonts w:hint="eastAsia" w:ascii="宋体" w:hAnsi="宋体" w:eastAsia="宋体" w:cs="宋体"/>
          <w:sz w:val="24"/>
          <w:szCs w:val="24"/>
        </w:rPr>
      </w:pPr>
    </w:p>
    <w:p w14:paraId="56FADFD3">
      <w:pPr>
        <w:jc w:val="left"/>
        <w:rPr>
          <w:rFonts w:hint="eastAsia" w:ascii="宋体" w:hAnsi="宋体" w:eastAsia="宋体" w:cs="宋体"/>
          <w:sz w:val="24"/>
          <w:szCs w:val="24"/>
        </w:rPr>
      </w:pPr>
    </w:p>
    <w:p w14:paraId="562571CE">
      <w:pPr>
        <w:jc w:val="left"/>
        <w:rPr>
          <w:rFonts w:hint="eastAsia" w:ascii="宋体" w:hAnsi="宋体" w:eastAsia="宋体" w:cs="宋体"/>
          <w:sz w:val="24"/>
          <w:szCs w:val="24"/>
        </w:rPr>
      </w:pPr>
    </w:p>
    <w:p w14:paraId="35742D28">
      <w:pPr>
        <w:jc w:val="left"/>
        <w:rPr>
          <w:rFonts w:hint="eastAsia" w:ascii="宋体" w:hAnsi="宋体" w:eastAsia="宋体" w:cs="宋体"/>
          <w:sz w:val="24"/>
          <w:szCs w:val="24"/>
        </w:rPr>
      </w:pPr>
    </w:p>
    <w:p w14:paraId="00ACABD4">
      <w:pPr>
        <w:jc w:val="left"/>
        <w:rPr>
          <w:rFonts w:hint="eastAsia" w:ascii="宋体" w:hAnsi="宋体" w:eastAsia="宋体" w:cs="宋体"/>
          <w:sz w:val="24"/>
          <w:szCs w:val="24"/>
        </w:rPr>
      </w:pPr>
    </w:p>
    <w:p w14:paraId="550545DA">
      <w:pPr>
        <w:jc w:val="left"/>
        <w:rPr>
          <w:rFonts w:hint="eastAsia" w:ascii="宋体" w:hAnsi="宋体" w:eastAsia="宋体" w:cs="宋体"/>
          <w:sz w:val="24"/>
          <w:szCs w:val="24"/>
        </w:rPr>
      </w:pPr>
    </w:p>
    <w:p w14:paraId="538DA15E">
      <w:pPr>
        <w:jc w:val="left"/>
        <w:rPr>
          <w:rFonts w:hint="eastAsia" w:ascii="宋体" w:hAnsi="宋体" w:eastAsia="宋体" w:cs="宋体"/>
          <w:sz w:val="24"/>
          <w:szCs w:val="24"/>
        </w:rPr>
      </w:pPr>
    </w:p>
    <w:p w14:paraId="7D2167BF">
      <w:pPr>
        <w:jc w:val="left"/>
        <w:rPr>
          <w:rFonts w:hint="eastAsia" w:ascii="宋体" w:hAnsi="宋体" w:eastAsia="宋体" w:cs="宋体"/>
          <w:sz w:val="24"/>
          <w:szCs w:val="24"/>
        </w:rPr>
      </w:pPr>
    </w:p>
    <w:p w14:paraId="76FAA128">
      <w:pPr>
        <w:jc w:val="left"/>
        <w:rPr>
          <w:rFonts w:hint="eastAsia" w:ascii="宋体" w:hAnsi="宋体" w:eastAsia="宋体" w:cs="宋体"/>
          <w:sz w:val="24"/>
          <w:szCs w:val="24"/>
        </w:rPr>
      </w:pPr>
    </w:p>
    <w:p w14:paraId="514425B4">
      <w:pPr>
        <w:jc w:val="left"/>
        <w:rPr>
          <w:rFonts w:hint="eastAsia" w:ascii="宋体" w:hAnsi="宋体" w:eastAsia="宋体" w:cs="宋体"/>
          <w:sz w:val="24"/>
          <w:szCs w:val="24"/>
        </w:rPr>
      </w:pPr>
    </w:p>
    <w:p w14:paraId="4C686030">
      <w:pPr>
        <w:jc w:val="left"/>
        <w:rPr>
          <w:rFonts w:hint="eastAsia" w:ascii="宋体" w:hAnsi="宋体" w:eastAsia="宋体" w:cs="宋体"/>
          <w:sz w:val="24"/>
          <w:szCs w:val="24"/>
        </w:rPr>
      </w:pPr>
    </w:p>
    <w:p w14:paraId="1455ED9B">
      <w:pPr>
        <w:jc w:val="left"/>
        <w:rPr>
          <w:rFonts w:hint="eastAsia" w:ascii="宋体" w:hAnsi="宋体" w:eastAsia="宋体" w:cs="宋体"/>
          <w:sz w:val="24"/>
          <w:szCs w:val="24"/>
        </w:rPr>
      </w:pPr>
    </w:p>
    <w:p w14:paraId="682ABA08">
      <w:pPr>
        <w:jc w:val="center"/>
        <w:rPr>
          <w:rFonts w:hint="eastAsia" w:ascii="黑体" w:hAnsi="黑体" w:eastAsia="黑体" w:cs="黑体"/>
          <w:b/>
          <w:bCs/>
          <w:sz w:val="52"/>
          <w:szCs w:val="52"/>
        </w:rPr>
      </w:pPr>
      <w:r>
        <w:rPr>
          <w:rFonts w:hint="eastAsia" w:ascii="黑体" w:hAnsi="黑体" w:eastAsia="黑体" w:cs="黑体"/>
          <w:b/>
          <w:bCs/>
          <w:sz w:val="44"/>
          <w:szCs w:val="44"/>
        </w:rPr>
        <w:t>光储超充电站场地合作协议</w:t>
      </w:r>
    </w:p>
    <w:p w14:paraId="53D4D8F8">
      <w:pPr>
        <w:jc w:val="left"/>
        <w:rPr>
          <w:rFonts w:hint="eastAsia" w:ascii="宋体" w:hAnsi="宋体" w:eastAsia="宋体" w:cs="宋体"/>
          <w:sz w:val="24"/>
          <w:szCs w:val="24"/>
        </w:rPr>
      </w:pPr>
    </w:p>
    <w:p w14:paraId="5E37A894">
      <w:pPr>
        <w:jc w:val="left"/>
        <w:rPr>
          <w:rFonts w:hint="eastAsia" w:ascii="宋体" w:hAnsi="宋体" w:eastAsia="宋体" w:cs="宋体"/>
          <w:sz w:val="24"/>
          <w:szCs w:val="24"/>
        </w:rPr>
      </w:pPr>
    </w:p>
    <w:p w14:paraId="26333F2C">
      <w:pPr>
        <w:jc w:val="left"/>
        <w:rPr>
          <w:rFonts w:hint="eastAsia" w:ascii="宋体" w:hAnsi="宋体" w:eastAsia="宋体" w:cs="宋体"/>
          <w:sz w:val="24"/>
          <w:szCs w:val="24"/>
        </w:rPr>
      </w:pPr>
    </w:p>
    <w:p w14:paraId="36DC04BA">
      <w:pPr>
        <w:jc w:val="left"/>
        <w:rPr>
          <w:rFonts w:hint="eastAsia" w:ascii="宋体" w:hAnsi="宋体" w:eastAsia="宋体" w:cs="宋体"/>
          <w:sz w:val="24"/>
          <w:szCs w:val="24"/>
        </w:rPr>
      </w:pPr>
    </w:p>
    <w:p w14:paraId="0316F6F7">
      <w:pPr>
        <w:pStyle w:val="10"/>
        <w:ind w:firstLine="2520" w:firstLineChars="900"/>
        <w:rPr>
          <w:rFonts w:hint="eastAsia" w:ascii="宋体" w:hAnsi="宋体" w:cs="宋体"/>
          <w:sz w:val="28"/>
          <w:szCs w:val="28"/>
        </w:rPr>
      </w:pPr>
      <w:r>
        <w:rPr>
          <w:rFonts w:hint="eastAsia" w:ascii="宋体" w:hAnsi="宋体" w:cs="宋体"/>
          <w:sz w:val="28"/>
          <w:szCs w:val="28"/>
        </w:rPr>
        <w:t>合同编号：</w:t>
      </w:r>
      <w:r>
        <w:rPr>
          <w:rFonts w:hint="eastAsia" w:ascii="宋体" w:hAnsi="宋体" w:cs="宋体"/>
          <w:sz w:val="28"/>
          <w:szCs w:val="28"/>
          <w:u w:val="single"/>
        </w:rPr>
        <w:t xml:space="preserve">                    </w:t>
      </w:r>
    </w:p>
    <w:p w14:paraId="65534B08">
      <w:pPr>
        <w:spacing w:line="560" w:lineRule="exact"/>
        <w:rPr>
          <w:rFonts w:hint="eastAsia" w:ascii="宋体" w:hAnsi="宋体" w:eastAsia="宋体" w:cs="宋体"/>
          <w:sz w:val="28"/>
          <w:szCs w:val="28"/>
          <w:u w:val="single"/>
        </w:rPr>
      </w:pPr>
      <w:r>
        <w:rPr>
          <w:rFonts w:hint="eastAsia" w:ascii="宋体" w:hAnsi="宋体" w:eastAsia="宋体" w:cs="宋体"/>
          <w:sz w:val="28"/>
          <w:szCs w:val="28"/>
        </w:rPr>
        <w:t xml:space="preserve">                  签署地点：</w:t>
      </w:r>
      <w:r>
        <w:rPr>
          <w:rFonts w:hint="eastAsia" w:ascii="宋体" w:hAnsi="宋体" w:eastAsia="宋体" w:cs="宋体"/>
          <w:sz w:val="28"/>
          <w:szCs w:val="28"/>
          <w:u w:val="single"/>
        </w:rPr>
        <w:t xml:space="preserve"> 福建省厦门市同安区 </w:t>
      </w:r>
    </w:p>
    <w:p w14:paraId="04674C3C">
      <w:pPr>
        <w:spacing w:line="560" w:lineRule="exact"/>
        <w:rPr>
          <w:rFonts w:hint="eastAsia" w:ascii="宋体" w:hAnsi="宋体" w:eastAsia="宋体" w:cs="宋体"/>
          <w:sz w:val="28"/>
          <w:szCs w:val="28"/>
          <w:u w:val="single"/>
        </w:rPr>
      </w:pPr>
      <w:r>
        <w:rPr>
          <w:rFonts w:hint="eastAsia" w:ascii="宋体" w:hAnsi="宋体" w:eastAsia="宋体" w:cs="宋体"/>
          <w:sz w:val="28"/>
          <w:szCs w:val="28"/>
        </w:rPr>
        <w:t xml:space="preserve">                  签署时间：</w:t>
      </w:r>
      <w:r>
        <w:rPr>
          <w:rFonts w:hint="eastAsia" w:ascii="宋体" w:hAnsi="宋体" w:eastAsia="宋体" w:cs="宋体"/>
          <w:sz w:val="28"/>
          <w:szCs w:val="28"/>
          <w:u w:val="single"/>
        </w:rPr>
        <w:t xml:space="preserve">      年   月   日  </w:t>
      </w:r>
    </w:p>
    <w:p w14:paraId="63D5D154">
      <w:pPr>
        <w:widowControl/>
        <w:jc w:val="left"/>
        <w:rPr>
          <w:rFonts w:hint="eastAsia" w:ascii="宋体" w:hAnsi="宋体" w:eastAsia="宋体" w:cs="宋体"/>
          <w:sz w:val="24"/>
          <w:szCs w:val="24"/>
        </w:rPr>
      </w:pPr>
      <w:r>
        <w:rPr>
          <w:rFonts w:hint="eastAsia" w:ascii="宋体" w:hAnsi="宋体" w:eastAsia="宋体" w:cs="宋体"/>
          <w:sz w:val="24"/>
          <w:szCs w:val="24"/>
        </w:rPr>
        <w:br w:type="page"/>
      </w:r>
    </w:p>
    <w:p w14:paraId="3ED1E2AD">
      <w:pPr>
        <w:jc w:val="left"/>
        <w:rPr>
          <w:rFonts w:hint="eastAsia" w:ascii="宋体" w:hAnsi="宋体" w:eastAsia="宋体" w:cs="宋体"/>
          <w:sz w:val="24"/>
          <w:szCs w:val="24"/>
        </w:rPr>
      </w:pPr>
    </w:p>
    <w:p w14:paraId="6B766D6A">
      <w:pPr>
        <w:jc w:val="center"/>
        <w:rPr>
          <w:rFonts w:hint="eastAsia" w:ascii="宋体" w:hAnsi="宋体" w:eastAsia="宋体" w:cs="宋体"/>
          <w:sz w:val="24"/>
          <w:szCs w:val="24"/>
        </w:rPr>
      </w:pPr>
    </w:p>
    <w:p w14:paraId="75E3E2D5">
      <w:pPr>
        <w:spacing w:line="520" w:lineRule="exact"/>
        <w:rPr>
          <w:rFonts w:hint="eastAsia" w:ascii="宋体" w:hAnsi="宋体" w:eastAsia="宋体" w:cs="宋体"/>
          <w:b/>
          <w:bCs/>
          <w:sz w:val="44"/>
          <w:szCs w:val="44"/>
        </w:rPr>
      </w:pPr>
    </w:p>
    <w:p w14:paraId="45A6B8EB">
      <w:pPr>
        <w:spacing w:line="520" w:lineRule="exact"/>
        <w:jc w:val="center"/>
        <w:rPr>
          <w:rFonts w:hint="eastAsia" w:ascii="宋体" w:hAnsi="宋体" w:eastAsia="宋体" w:cs="宋体"/>
          <w:b/>
          <w:bCs/>
          <w:sz w:val="36"/>
          <w:szCs w:val="36"/>
        </w:rPr>
      </w:pPr>
      <w:r>
        <w:rPr>
          <w:rFonts w:hint="eastAsia" w:ascii="宋体" w:hAnsi="宋体" w:eastAsia="宋体" w:cs="宋体"/>
          <w:b/>
          <w:bCs/>
          <w:sz w:val="36"/>
          <w:szCs w:val="36"/>
        </w:rPr>
        <w:t>光储超充电站场地合作协议</w:t>
      </w:r>
    </w:p>
    <w:p w14:paraId="71E12140">
      <w:pPr>
        <w:spacing w:line="520" w:lineRule="exact"/>
        <w:jc w:val="center"/>
        <w:rPr>
          <w:rFonts w:hint="eastAsia" w:ascii="宋体" w:hAnsi="宋体" w:eastAsia="宋体" w:cs="宋体"/>
          <w:b/>
          <w:bCs/>
          <w:sz w:val="36"/>
          <w:szCs w:val="36"/>
        </w:rPr>
      </w:pPr>
    </w:p>
    <w:p w14:paraId="35C736FC">
      <w:pPr>
        <w:spacing w:line="52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甲方：</w:t>
      </w:r>
    </w:p>
    <w:p w14:paraId="1548F113">
      <w:pPr>
        <w:spacing w:line="52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法定代表人：</w:t>
      </w:r>
    </w:p>
    <w:p w14:paraId="12E8B77F">
      <w:pPr>
        <w:spacing w:line="52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统一社会信用代码：</w:t>
      </w:r>
    </w:p>
    <w:p w14:paraId="4C3A9C79">
      <w:pPr>
        <w:spacing w:line="52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通讯地址：</w:t>
      </w:r>
    </w:p>
    <w:p w14:paraId="1BDB75D8">
      <w:pPr>
        <w:spacing w:line="52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联系人：                 联系电话：</w:t>
      </w:r>
    </w:p>
    <w:p w14:paraId="4E486006">
      <w:pPr>
        <w:spacing w:line="520" w:lineRule="exact"/>
        <w:ind w:firstLine="480" w:firstLineChars="200"/>
        <w:jc w:val="left"/>
        <w:rPr>
          <w:rFonts w:hint="eastAsia" w:ascii="宋体" w:hAnsi="宋体" w:eastAsia="宋体" w:cs="宋体"/>
          <w:sz w:val="24"/>
          <w:szCs w:val="24"/>
        </w:rPr>
      </w:pPr>
    </w:p>
    <w:p w14:paraId="38A93A86">
      <w:pPr>
        <w:spacing w:line="52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 xml:space="preserve">乙方： </w:t>
      </w:r>
    </w:p>
    <w:p w14:paraId="01743C1E">
      <w:pPr>
        <w:spacing w:line="52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法定代表人：</w:t>
      </w:r>
    </w:p>
    <w:p w14:paraId="55AD01C2">
      <w:pPr>
        <w:spacing w:line="52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统一社会信用代码：</w:t>
      </w:r>
    </w:p>
    <w:p w14:paraId="429BCC59">
      <w:pPr>
        <w:spacing w:line="52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通讯地址：</w:t>
      </w:r>
    </w:p>
    <w:p w14:paraId="479E54A7">
      <w:pPr>
        <w:spacing w:line="520" w:lineRule="exact"/>
        <w:ind w:firstLine="480" w:firstLineChars="200"/>
        <w:jc w:val="left"/>
        <w:rPr>
          <w:rFonts w:hint="eastAsia"/>
        </w:rPr>
      </w:pPr>
      <w:r>
        <w:rPr>
          <w:rFonts w:hint="eastAsia" w:ascii="宋体" w:hAnsi="宋体" w:eastAsia="宋体" w:cs="宋体"/>
          <w:sz w:val="24"/>
          <w:szCs w:val="24"/>
        </w:rPr>
        <w:t>联系人：                 联系电话：</w:t>
      </w:r>
    </w:p>
    <w:p w14:paraId="4C3A6F07">
      <w:pPr>
        <w:spacing w:line="520" w:lineRule="exact"/>
        <w:ind w:firstLine="480" w:firstLineChars="200"/>
        <w:jc w:val="left"/>
        <w:rPr>
          <w:rFonts w:hint="eastAsia" w:ascii="宋体" w:hAnsi="宋体" w:eastAsia="宋体" w:cs="宋体"/>
          <w:sz w:val="24"/>
          <w:szCs w:val="24"/>
        </w:rPr>
      </w:pPr>
    </w:p>
    <w:p w14:paraId="56AC8381">
      <w:pPr>
        <w:spacing w:line="52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为共同推进新能源汽车产业的发展，经甲乙双方友好协商，本着资源共享、共同发展、合作双赢的原则，依据《中华人民共和国民法典》及相关法律法规，双方就在甲方场地上合作运营新能源超快充电站事宜，达成如下合作协议：</w:t>
      </w:r>
    </w:p>
    <w:p w14:paraId="6F3E4E99">
      <w:pPr>
        <w:spacing w:line="520" w:lineRule="exact"/>
        <w:ind w:left="479" w:leftChars="228"/>
        <w:jc w:val="left"/>
        <w:rPr>
          <w:rFonts w:hint="eastAsia" w:ascii="宋体" w:hAnsi="宋体" w:eastAsia="宋体" w:cs="宋体"/>
          <w:b/>
          <w:bCs/>
          <w:sz w:val="24"/>
          <w:szCs w:val="24"/>
        </w:rPr>
      </w:pPr>
      <w:r>
        <w:rPr>
          <w:rFonts w:hint="eastAsia" w:ascii="宋体" w:hAnsi="宋体" w:eastAsia="宋体" w:cs="宋体"/>
          <w:b/>
          <w:bCs/>
          <w:sz w:val="24"/>
          <w:szCs w:val="24"/>
        </w:rPr>
        <w:t>一、合作项目信息</w:t>
      </w:r>
    </w:p>
    <w:p w14:paraId="30523186">
      <w:pPr>
        <w:spacing w:line="520" w:lineRule="exact"/>
        <w:ind w:left="479" w:leftChars="228"/>
        <w:jc w:val="left"/>
        <w:rPr>
          <w:rFonts w:hint="eastAsia" w:ascii="宋体" w:hAnsi="宋体" w:eastAsia="宋体" w:cs="宋体"/>
          <w:sz w:val="24"/>
          <w:szCs w:val="24"/>
          <w:u w:val="single"/>
        </w:rPr>
      </w:pPr>
      <w:r>
        <w:rPr>
          <w:rFonts w:hint="eastAsia" w:ascii="宋体" w:hAnsi="宋体" w:eastAsia="宋体" w:cs="宋体"/>
          <w:sz w:val="24"/>
          <w:szCs w:val="24"/>
        </w:rPr>
        <w:t>1.1项目名称：</w:t>
      </w:r>
      <w:r>
        <w:rPr>
          <w:rFonts w:hint="eastAsia" w:ascii="宋体" w:hAnsi="宋体" w:eastAsia="宋体" w:cs="宋体"/>
          <w:sz w:val="24"/>
          <w:szCs w:val="24"/>
          <w:u w:val="single"/>
        </w:rPr>
        <w:t xml:space="preserve"> 厦门市同安区同集北路西侧四口圳同安资管停车场                                                     </w:t>
      </w:r>
    </w:p>
    <w:p w14:paraId="06705813">
      <w:pPr>
        <w:spacing w:line="520" w:lineRule="exact"/>
        <w:ind w:left="479" w:leftChars="228"/>
        <w:jc w:val="left"/>
        <w:rPr>
          <w:rFonts w:hint="eastAsia" w:ascii="宋体" w:hAnsi="宋体" w:eastAsia="宋体" w:cs="宋体"/>
          <w:sz w:val="24"/>
          <w:szCs w:val="24"/>
        </w:rPr>
      </w:pPr>
      <w:r>
        <w:rPr>
          <w:rFonts w:hint="eastAsia" w:ascii="宋体" w:hAnsi="宋体" w:eastAsia="宋体" w:cs="宋体"/>
          <w:sz w:val="24"/>
          <w:szCs w:val="24"/>
        </w:rPr>
        <w:t>1.2项目所在场地详情：</w:t>
      </w:r>
    </w:p>
    <w:p w14:paraId="3F4DCD2B">
      <w:pPr>
        <w:spacing w:line="520" w:lineRule="exact"/>
        <w:ind w:left="479" w:leftChars="228"/>
        <w:jc w:val="left"/>
        <w:rPr>
          <w:rFonts w:hint="eastAsia" w:ascii="宋体" w:hAnsi="宋体" w:eastAsia="宋体" w:cs="宋体"/>
          <w:sz w:val="24"/>
          <w:szCs w:val="24"/>
        </w:rPr>
      </w:pPr>
      <w:r>
        <w:rPr>
          <w:rFonts w:hint="eastAsia" w:ascii="宋体" w:hAnsi="宋体" w:eastAsia="宋体" w:cs="宋体"/>
          <w:sz w:val="24"/>
          <w:szCs w:val="24"/>
        </w:rPr>
        <w:t>场地所有权人/使用权人：</w:t>
      </w:r>
      <w:r>
        <w:rPr>
          <w:rFonts w:hint="eastAsia" w:ascii="宋体" w:hAnsi="宋体" w:eastAsia="宋体" w:cs="宋体"/>
          <w:sz w:val="24"/>
          <w:szCs w:val="24"/>
          <w:u w:val="single"/>
        </w:rPr>
        <w:t xml:space="preserve">  厦门同安资产管理有限公司/厦门同安城市建设投资有限公司                                         </w:t>
      </w:r>
      <w:r>
        <w:rPr>
          <w:rFonts w:hint="eastAsia" w:ascii="宋体" w:hAnsi="宋体" w:eastAsia="宋体" w:cs="宋体"/>
          <w:sz w:val="24"/>
          <w:szCs w:val="24"/>
        </w:rPr>
        <w:t xml:space="preserve">                          </w:t>
      </w:r>
    </w:p>
    <w:p w14:paraId="6396C12B">
      <w:pPr>
        <w:spacing w:line="520" w:lineRule="exact"/>
        <w:ind w:left="479" w:leftChars="228"/>
        <w:jc w:val="left"/>
        <w:rPr>
          <w:rFonts w:hint="eastAsia" w:ascii="宋体" w:hAnsi="宋体" w:eastAsia="宋体" w:cs="宋体"/>
          <w:sz w:val="24"/>
          <w:szCs w:val="24"/>
        </w:rPr>
      </w:pPr>
      <w:r>
        <w:rPr>
          <w:rFonts w:hint="eastAsia" w:ascii="宋体" w:hAnsi="宋体" w:eastAsia="宋体" w:cs="宋体"/>
          <w:sz w:val="24"/>
          <w:szCs w:val="24"/>
        </w:rPr>
        <w:t>场地位置范围：</w:t>
      </w:r>
      <w:r>
        <w:rPr>
          <w:rFonts w:hint="eastAsia" w:ascii="宋体" w:hAnsi="宋体" w:eastAsia="宋体" w:cs="宋体"/>
          <w:sz w:val="24"/>
          <w:szCs w:val="24"/>
          <w:u w:val="single"/>
        </w:rPr>
        <w:t xml:space="preserve">                                      </w:t>
      </w:r>
      <w:r>
        <w:rPr>
          <w:rFonts w:hint="eastAsia" w:ascii="宋体" w:hAnsi="宋体" w:eastAsia="宋体" w:cs="宋体"/>
          <w:sz w:val="24"/>
          <w:szCs w:val="24"/>
        </w:rPr>
        <w:t>（详见</w:t>
      </w:r>
      <w:r>
        <w:rPr>
          <w:rFonts w:ascii="宋体" w:hAnsi="宋体" w:eastAsia="宋体" w:cs="宋体"/>
          <w:sz w:val="24"/>
          <w:szCs w:val="24"/>
        </w:rPr>
        <w:t>平面图</w:t>
      </w:r>
      <w:r>
        <w:rPr>
          <w:rFonts w:hint="eastAsia" w:ascii="宋体" w:hAnsi="宋体" w:eastAsia="宋体" w:cs="宋体"/>
          <w:sz w:val="24"/>
          <w:szCs w:val="24"/>
        </w:rPr>
        <w:t xml:space="preserve">）                 </w:t>
      </w:r>
    </w:p>
    <w:p w14:paraId="26EB0B6C">
      <w:pPr>
        <w:spacing w:line="520" w:lineRule="exact"/>
        <w:ind w:left="479" w:leftChars="228"/>
        <w:jc w:val="left"/>
        <w:rPr>
          <w:rFonts w:hint="eastAsia" w:ascii="宋体" w:hAnsi="宋体" w:eastAsia="宋体" w:cs="宋体"/>
          <w:sz w:val="24"/>
          <w:szCs w:val="24"/>
        </w:rPr>
      </w:pPr>
      <w:r>
        <w:rPr>
          <w:rFonts w:hint="eastAsia" w:ascii="宋体" w:hAnsi="宋体" w:eastAsia="宋体" w:cs="宋体"/>
          <w:sz w:val="24"/>
          <w:szCs w:val="24"/>
        </w:rPr>
        <w:t>合作区域面积：</w:t>
      </w:r>
      <w:r>
        <w:rPr>
          <w:rFonts w:hint="eastAsia" w:ascii="宋体" w:hAnsi="宋体" w:eastAsia="宋体" w:cs="宋体"/>
          <w:sz w:val="24"/>
          <w:szCs w:val="24"/>
          <w:u w:val="single"/>
        </w:rPr>
        <w:t xml:space="preserve">  50个车位，不得二次转租                                                  </w:t>
      </w:r>
    </w:p>
    <w:p w14:paraId="5BB830E8">
      <w:pPr>
        <w:spacing w:line="520" w:lineRule="exact"/>
        <w:ind w:left="479" w:leftChars="228"/>
        <w:jc w:val="left"/>
        <w:rPr>
          <w:rFonts w:hint="eastAsia" w:ascii="宋体" w:hAnsi="宋体" w:eastAsia="宋体" w:cs="宋体"/>
          <w:sz w:val="24"/>
          <w:szCs w:val="24"/>
        </w:rPr>
      </w:pPr>
      <w:r>
        <w:rPr>
          <w:rFonts w:hint="eastAsia" w:ascii="宋体" w:hAnsi="宋体" w:eastAsia="宋体" w:cs="宋体"/>
          <w:sz w:val="24"/>
          <w:szCs w:val="24"/>
        </w:rPr>
        <w:t>1.3合作场地是否存在任何查封、抵押、拆迁改造、市政规划等权利限制:</w:t>
      </w:r>
    </w:p>
    <w:p w14:paraId="490903D6">
      <w:pPr>
        <w:spacing w:line="520" w:lineRule="exact"/>
        <w:ind w:left="479" w:leftChars="228"/>
        <w:jc w:val="left"/>
        <w:rPr>
          <w:rFonts w:hint="eastAsia" w:ascii="宋体" w:hAnsi="宋体" w:eastAsia="宋体" w:cs="宋体"/>
          <w:b/>
          <w:bCs/>
          <w:sz w:val="24"/>
          <w:szCs w:val="24"/>
        </w:rPr>
      </w:pPr>
      <w:r>
        <w:rPr>
          <w:rFonts w:hint="eastAsia" w:ascii="宋体" w:hAnsi="宋体" w:eastAsia="宋体" w:cs="宋体"/>
          <w:sz w:val="24"/>
          <w:szCs w:val="24"/>
        </w:rPr>
        <w:sym w:font="Wingdings" w:char="00FE"/>
      </w:r>
      <w:r>
        <w:rPr>
          <w:rFonts w:hint="eastAsia" w:ascii="宋体" w:hAnsi="宋体" w:eastAsia="宋体" w:cs="宋体"/>
          <w:sz w:val="24"/>
          <w:szCs w:val="24"/>
        </w:rPr>
        <w:t xml:space="preserve"> 否，</w:t>
      </w:r>
      <w:r>
        <w:rPr>
          <w:rFonts w:hint="eastAsia" w:ascii="宋体" w:hAnsi="宋体" w:eastAsia="宋体" w:cs="宋体"/>
          <w:sz w:val="24"/>
          <w:szCs w:val="24"/>
        </w:rPr>
        <w:sym w:font="Wingdings" w:char="00A8"/>
      </w:r>
      <w:r>
        <w:rPr>
          <w:rFonts w:hint="eastAsia" w:ascii="宋体" w:hAnsi="宋体" w:eastAsia="宋体" w:cs="宋体"/>
          <w:sz w:val="24"/>
          <w:szCs w:val="24"/>
        </w:rPr>
        <w:t xml:space="preserve"> 是（如勾选“是”，则需说明具体内容）：</w:t>
      </w:r>
      <w:r>
        <w:rPr>
          <w:rFonts w:hint="eastAsia" w:ascii="宋体" w:hAnsi="宋体" w:eastAsia="宋体" w:cs="宋体"/>
          <w:sz w:val="24"/>
          <w:szCs w:val="24"/>
          <w:u w:val="single"/>
        </w:rPr>
        <w:t xml:space="preserve">                   </w:t>
      </w:r>
      <w:r>
        <w:rPr>
          <w:rFonts w:hint="eastAsia" w:ascii="宋体" w:hAnsi="宋体" w:eastAsia="宋体" w:cs="宋体"/>
          <w:b/>
          <w:bCs/>
          <w:sz w:val="24"/>
          <w:szCs w:val="24"/>
        </w:rPr>
        <w:t xml:space="preserve">         </w:t>
      </w:r>
    </w:p>
    <w:p w14:paraId="204B936D">
      <w:pPr>
        <w:spacing w:line="520" w:lineRule="exact"/>
        <w:ind w:left="479" w:leftChars="228"/>
        <w:jc w:val="left"/>
        <w:rPr>
          <w:rFonts w:hint="eastAsia" w:ascii="宋体" w:hAnsi="宋体" w:eastAsia="宋体" w:cs="宋体"/>
          <w:b/>
          <w:bCs/>
          <w:sz w:val="24"/>
          <w:szCs w:val="24"/>
        </w:rPr>
      </w:pPr>
      <w:r>
        <w:rPr>
          <w:rFonts w:hint="eastAsia" w:ascii="宋体" w:hAnsi="宋体" w:eastAsia="宋体" w:cs="宋体"/>
          <w:b/>
          <w:bCs/>
          <w:sz w:val="24"/>
          <w:szCs w:val="24"/>
        </w:rPr>
        <w:t>二、合作内容</w:t>
      </w:r>
    </w:p>
    <w:p w14:paraId="00D50E5B">
      <w:pPr>
        <w:spacing w:line="52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2.1 甲方负责：提供符合本次合作所需要的50个车位，对于前往充电的新能源车辆，甲方提供2小时的免费停车时长；甲方应保障拟安装的充电、发电及储能设施所覆盖范围内的场地能够供相关设施及经营功能的正常使用；</w:t>
      </w:r>
      <w:r>
        <w:rPr>
          <w:rFonts w:hint="eastAsia" w:ascii="宋体" w:hAnsi="宋体" w:eastAsia="宋体" w:cs="宋体"/>
          <w:sz w:val="24"/>
          <w:szCs w:val="24"/>
        </w:rPr>
        <w:br w:type="textWrapping"/>
      </w:r>
      <w:r>
        <w:rPr>
          <w:rFonts w:hint="eastAsia" w:ascii="宋体" w:hAnsi="宋体" w:eastAsia="宋体" w:cs="宋体"/>
          <w:sz w:val="24"/>
          <w:szCs w:val="24"/>
        </w:rPr>
        <w:t xml:space="preserve">    2.2 乙方负责：投资建设以及安装合作场地中所需要的充电主机、桩设备、储能设备、光伏或微风发电设备、电力负荷、高低压电缆辅材及配套设施，在合作场地区域范围内安装足够数量的摄像头；承担合作充电站第三方运营平台的管理；对合作充电站进行推广；对合作充电站进行日常维护及管理等工作。乙方保证提供不少于12把的480kw液冷超充枪。</w:t>
      </w:r>
    </w:p>
    <w:p w14:paraId="79776997">
      <w:pPr>
        <w:spacing w:line="52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2.3 对合作充电站相关资产的产权分割约定：由乙方出资建设、施工以及安装的充电主机、桩设备（含枪线）、变压器及高低压电缆辅材、微风发电设备、光伏设备、储能设备、安防、照明、标牌等安装的固定资产的所有人为乙方。本协议合作期间，双方均须遵循资产归属方负责对其自有资产进行施工、管理及日常维护的合作原则。</w:t>
      </w:r>
      <w:bookmarkStart w:id="0" w:name="_Hlk149039180"/>
    </w:p>
    <w:p w14:paraId="28336A08">
      <w:pPr>
        <w:spacing w:line="52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2.4 乙方充电平台需与甲方智慧停车平台进行对接，甲方可利用其“同安智能停车”公众号、视频号、小红书/抖音账号以发放充电券、会员优惠等形式为合作充电站引流，具体合作、结算方式双方另行签订协议。</w:t>
      </w:r>
    </w:p>
    <w:p w14:paraId="25BF2CB1">
      <w:pPr>
        <w:spacing w:line="520" w:lineRule="exact"/>
        <w:ind w:firstLine="482" w:firstLineChars="200"/>
        <w:jc w:val="left"/>
        <w:rPr>
          <w:rFonts w:hint="eastAsia" w:ascii="宋体" w:hAnsi="宋体" w:eastAsia="宋体" w:cs="宋体"/>
          <w:b/>
          <w:bCs/>
          <w:sz w:val="24"/>
          <w:szCs w:val="24"/>
        </w:rPr>
      </w:pPr>
      <w:r>
        <w:rPr>
          <w:rFonts w:hint="eastAsia" w:ascii="宋体" w:hAnsi="宋体" w:eastAsia="宋体" w:cs="宋体"/>
          <w:b/>
          <w:bCs/>
          <w:sz w:val="24"/>
          <w:szCs w:val="24"/>
        </w:rPr>
        <w:t>三、合作期限</w:t>
      </w:r>
    </w:p>
    <w:p w14:paraId="4D037FD1">
      <w:pPr>
        <w:spacing w:line="52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3.1 双方同意合作期限为</w:t>
      </w:r>
      <w:r>
        <w:rPr>
          <w:rFonts w:hint="eastAsia" w:ascii="宋体" w:hAnsi="宋体" w:eastAsia="宋体" w:cs="宋体"/>
          <w:sz w:val="24"/>
          <w:szCs w:val="24"/>
          <w:u w:val="single"/>
        </w:rPr>
        <w:t xml:space="preserve">  9  </w:t>
      </w:r>
      <w:r>
        <w:rPr>
          <w:rFonts w:hint="eastAsia" w:ascii="宋体" w:hAnsi="宋体" w:eastAsia="宋体" w:cs="宋体"/>
          <w:sz w:val="24"/>
          <w:szCs w:val="24"/>
        </w:rPr>
        <w:t>年，自本协议签订并生效之日起计算。合作期限到期之日前</w:t>
      </w:r>
      <w:r>
        <w:rPr>
          <w:rFonts w:hint="eastAsia" w:ascii="宋体" w:hAnsi="宋体" w:eastAsia="宋体" w:cs="宋体"/>
          <w:sz w:val="24"/>
          <w:szCs w:val="24"/>
          <w:u w:val="single"/>
        </w:rPr>
        <w:t xml:space="preserve"> 60</w:t>
      </w:r>
      <w:r>
        <w:rPr>
          <w:rFonts w:hint="eastAsia" w:ascii="宋体" w:hAnsi="宋体" w:eastAsia="宋体" w:cs="宋体"/>
          <w:sz w:val="24"/>
          <w:szCs w:val="24"/>
        </w:rPr>
        <w:t>日，双方应当就是否续约进行友好协商，甲方同意在同等条件下优先与乙方续签合作。</w:t>
      </w:r>
    </w:p>
    <w:p w14:paraId="7B6CAAA1">
      <w:pPr>
        <w:spacing w:line="52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3.2 甲方提供</w:t>
      </w:r>
      <w:r>
        <w:rPr>
          <w:rFonts w:hint="eastAsia" w:ascii="宋体" w:hAnsi="宋体" w:eastAsia="宋体" w:cs="宋体"/>
          <w:sz w:val="24"/>
          <w:szCs w:val="24"/>
          <w:u w:val="single"/>
        </w:rPr>
        <w:t xml:space="preserve">  </w:t>
      </w:r>
      <w:r>
        <w:rPr>
          <w:rFonts w:hint="eastAsia" w:ascii="宋体" w:hAnsi="宋体" w:eastAsia="宋体" w:cs="宋体"/>
          <w:sz w:val="24"/>
          <w:szCs w:val="24"/>
        </w:rPr>
        <w:t>个月建设免租期，免租期自甲方向乙方交付合作场地之日次日起算，</w:t>
      </w:r>
      <w:r>
        <w:rPr>
          <w:rFonts w:hint="eastAsia" w:ascii="宋体" w:hAnsi="宋体" w:eastAsia="宋体" w:cs="宋体"/>
          <w:sz w:val="24"/>
          <w:szCs w:val="24"/>
          <w:u w:val="single"/>
        </w:rPr>
        <w:t xml:space="preserve">   </w:t>
      </w:r>
      <w:r>
        <w:rPr>
          <w:rFonts w:hint="eastAsia" w:ascii="宋体" w:hAnsi="宋体" w:eastAsia="宋体" w:cs="宋体"/>
          <w:sz w:val="24"/>
          <w:szCs w:val="24"/>
        </w:rPr>
        <w:t>个月免租期内乙方无需向甲方支付任何分成收益以及保底收益，但应当自行承担免租期内的施工费用和建设成本。</w:t>
      </w:r>
    </w:p>
    <w:p w14:paraId="1463FF5D">
      <w:pPr>
        <w:spacing w:line="520" w:lineRule="exact"/>
        <w:ind w:firstLine="480" w:firstLineChars="200"/>
        <w:jc w:val="left"/>
        <w:rPr>
          <w:rFonts w:ascii="宋体" w:hAnsi="宋体" w:eastAsia="宋体" w:cs="宋体"/>
          <w:sz w:val="24"/>
          <w:szCs w:val="24"/>
          <w:u w:val="single"/>
        </w:rPr>
      </w:pPr>
      <w:r>
        <w:rPr>
          <w:rFonts w:hint="eastAsia" w:ascii="宋体" w:hAnsi="宋体" w:eastAsia="宋体" w:cs="宋体"/>
          <w:sz w:val="24"/>
          <w:szCs w:val="24"/>
        </w:rPr>
        <w:t>四、履约保证金</w:t>
      </w:r>
    </w:p>
    <w:p w14:paraId="722AAE1B">
      <w:pPr>
        <w:spacing w:line="52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签订合作协议时，乙方向甲方支付6个月的租金人民币</w:t>
      </w:r>
      <w:r>
        <w:rPr>
          <w:rFonts w:hint="eastAsia" w:ascii="宋体" w:hAnsi="宋体" w:eastAsia="宋体" w:cs="宋体"/>
          <w:sz w:val="24"/>
          <w:szCs w:val="24"/>
          <w:u w:val="single"/>
        </w:rPr>
        <w:t xml:space="preserve">    </w:t>
      </w:r>
      <w:r>
        <w:rPr>
          <w:rFonts w:hint="eastAsia" w:ascii="宋体" w:hAnsi="宋体" w:eastAsia="宋体" w:cs="宋体"/>
          <w:sz w:val="24"/>
          <w:szCs w:val="24"/>
        </w:rPr>
        <w:t>元整（小写</w:t>
      </w:r>
      <w:r>
        <w:rPr>
          <w:rFonts w:hint="eastAsia" w:ascii="宋体" w:hAnsi="宋体" w:eastAsia="宋体" w:cs="宋体"/>
          <w:sz w:val="24"/>
          <w:szCs w:val="24"/>
          <w:u w:val="single"/>
        </w:rPr>
        <w:t xml:space="preserve">￥     </w:t>
      </w:r>
      <w:r>
        <w:rPr>
          <w:rFonts w:hint="eastAsia" w:ascii="宋体" w:hAnsi="宋体" w:eastAsia="宋体" w:cs="宋体"/>
          <w:sz w:val="24"/>
          <w:szCs w:val="24"/>
        </w:rPr>
        <w:t>元）作为履约保证金。</w:t>
      </w:r>
    </w:p>
    <w:p w14:paraId="11C678DA">
      <w:pPr>
        <w:spacing w:line="520" w:lineRule="exact"/>
        <w:ind w:firstLine="482" w:firstLineChars="200"/>
        <w:jc w:val="left"/>
        <w:rPr>
          <w:rFonts w:hint="eastAsia" w:ascii="宋体" w:hAnsi="宋体" w:eastAsia="宋体" w:cs="宋体"/>
          <w:b/>
          <w:bCs/>
          <w:sz w:val="24"/>
          <w:szCs w:val="24"/>
        </w:rPr>
      </w:pPr>
      <w:r>
        <w:rPr>
          <w:rFonts w:hint="eastAsia" w:ascii="宋体" w:hAnsi="宋体" w:eastAsia="宋体" w:cs="宋体"/>
          <w:b/>
          <w:bCs/>
          <w:sz w:val="24"/>
          <w:szCs w:val="24"/>
        </w:rPr>
        <w:t>五、收益模式</w:t>
      </w:r>
    </w:p>
    <w:p w14:paraId="07140D61">
      <w:pPr>
        <w:pStyle w:val="3"/>
        <w:numPr>
          <w:ilvl w:val="255"/>
          <w:numId w:val="0"/>
        </w:numPr>
        <w:spacing w:before="0" w:after="0" w:line="520" w:lineRule="exact"/>
        <w:ind w:firstLine="480" w:firstLineChars="200"/>
        <w:jc w:val="both"/>
        <w:rPr>
          <w:rFonts w:hint="eastAsia" w:ascii="宋体" w:hAnsi="宋体" w:eastAsia="宋体" w:cs="宋体"/>
          <w:bCs w:val="0"/>
          <w:sz w:val="24"/>
          <w:szCs w:val="24"/>
        </w:rPr>
      </w:pPr>
      <w:r>
        <w:rPr>
          <w:rFonts w:hint="eastAsia" w:ascii="宋体" w:hAnsi="宋体" w:eastAsia="宋体" w:cs="宋体"/>
          <w:bCs w:val="0"/>
          <w:sz w:val="24"/>
          <w:szCs w:val="24"/>
        </w:rPr>
        <w:t>5.1 甲乙双方一致同意按项目收益分成的模式进行合作，甲方的项目收益分成比例为项目收益的</w:t>
      </w:r>
      <w:r>
        <w:rPr>
          <w:rFonts w:hint="eastAsia" w:ascii="宋体" w:hAnsi="宋体" w:eastAsia="宋体" w:cs="宋体"/>
          <w:bCs w:val="0"/>
          <w:sz w:val="24"/>
          <w:szCs w:val="24"/>
          <w:u w:val="single"/>
          <w:lang w:val="en-US" w:eastAsia="zh-CN"/>
        </w:rPr>
        <w:t xml:space="preserve">  </w:t>
      </w:r>
      <w:r>
        <w:rPr>
          <w:rFonts w:hint="eastAsia" w:ascii="宋体" w:hAnsi="宋体" w:eastAsia="宋体" w:cs="宋体"/>
          <w:bCs w:val="0"/>
          <w:sz w:val="24"/>
          <w:szCs w:val="24"/>
        </w:rPr>
        <w:t>%、乙方的项目收益分成比例为项目收益的</w:t>
      </w:r>
      <w:r>
        <w:rPr>
          <w:rFonts w:hint="eastAsia" w:ascii="宋体" w:hAnsi="宋体" w:eastAsia="宋体" w:cs="宋体"/>
          <w:bCs w:val="0"/>
          <w:sz w:val="24"/>
          <w:szCs w:val="24"/>
          <w:u w:val="single"/>
          <w:lang w:val="en-US" w:eastAsia="zh-CN"/>
        </w:rPr>
        <w:t xml:space="preserve">  </w:t>
      </w:r>
      <w:bookmarkStart w:id="2" w:name="_GoBack"/>
      <w:bookmarkEnd w:id="2"/>
      <w:r>
        <w:rPr>
          <w:rFonts w:hint="eastAsia" w:ascii="宋体" w:hAnsi="宋体" w:eastAsia="宋体" w:cs="宋体"/>
          <w:bCs w:val="0"/>
          <w:sz w:val="24"/>
          <w:szCs w:val="24"/>
        </w:rPr>
        <w:t>%，甲方项目收益自项目开始运营之日起算五年后递增</w:t>
      </w:r>
      <w:r>
        <w:rPr>
          <w:rFonts w:hint="eastAsia" w:ascii="宋体" w:hAnsi="宋体" w:eastAsia="宋体" w:cs="宋体"/>
          <w:bCs w:val="0"/>
          <w:sz w:val="24"/>
          <w:szCs w:val="24"/>
          <w:u w:val="single"/>
        </w:rPr>
        <w:t xml:space="preserve">   </w:t>
      </w:r>
      <w:r>
        <w:rPr>
          <w:rFonts w:hint="eastAsia" w:ascii="宋体" w:hAnsi="宋体" w:eastAsia="宋体" w:cs="宋体"/>
          <w:bCs w:val="0"/>
          <w:sz w:val="24"/>
          <w:szCs w:val="24"/>
        </w:rPr>
        <w:t>%，即自双方合作项目运营的第六年起甲方的项目收益分成比例为项目收益的</w:t>
      </w:r>
      <w:r>
        <w:rPr>
          <w:rFonts w:hint="eastAsia" w:ascii="宋体" w:hAnsi="宋体" w:eastAsia="宋体" w:cs="宋体"/>
          <w:bCs w:val="0"/>
          <w:sz w:val="24"/>
          <w:szCs w:val="24"/>
          <w:u w:val="single"/>
        </w:rPr>
        <w:t xml:space="preserve">    </w:t>
      </w:r>
      <w:r>
        <w:rPr>
          <w:rFonts w:hint="eastAsia" w:ascii="宋体" w:hAnsi="宋体" w:eastAsia="宋体" w:cs="宋体"/>
          <w:bCs w:val="0"/>
          <w:sz w:val="24"/>
          <w:szCs w:val="24"/>
        </w:rPr>
        <w:t>%、乙方的项目收益分成比例为项目收益的</w:t>
      </w:r>
      <w:r>
        <w:rPr>
          <w:rFonts w:hint="eastAsia" w:ascii="宋体" w:hAnsi="宋体" w:eastAsia="宋体" w:cs="宋体"/>
          <w:bCs w:val="0"/>
          <w:sz w:val="24"/>
          <w:szCs w:val="24"/>
          <w:u w:val="single"/>
        </w:rPr>
        <w:t xml:space="preserve">     </w:t>
      </w:r>
      <w:r>
        <w:rPr>
          <w:rFonts w:hint="eastAsia" w:ascii="宋体" w:hAnsi="宋体" w:eastAsia="宋体" w:cs="宋体"/>
          <w:bCs w:val="0"/>
          <w:sz w:val="24"/>
          <w:szCs w:val="24"/>
        </w:rPr>
        <w:t>%直至合作期满。</w:t>
      </w:r>
    </w:p>
    <w:p w14:paraId="14DA6151">
      <w:pPr>
        <w:pStyle w:val="3"/>
        <w:numPr>
          <w:ilvl w:val="255"/>
          <w:numId w:val="0"/>
        </w:numPr>
        <w:spacing w:before="0" w:after="0" w:line="520" w:lineRule="exact"/>
        <w:ind w:firstLine="480" w:firstLineChars="200"/>
        <w:jc w:val="both"/>
        <w:rPr>
          <w:rFonts w:hint="eastAsia" w:ascii="宋体" w:hAnsi="宋体" w:eastAsia="宋体" w:cs="宋体"/>
          <w:bCs w:val="0"/>
          <w:sz w:val="24"/>
          <w:szCs w:val="24"/>
        </w:rPr>
      </w:pPr>
      <w:r>
        <w:rPr>
          <w:rFonts w:hint="eastAsia" w:ascii="宋体" w:hAnsi="宋体" w:eastAsia="宋体" w:cs="宋体"/>
          <w:bCs w:val="0"/>
          <w:sz w:val="24"/>
          <w:szCs w:val="24"/>
        </w:rPr>
        <w:t>5.2 当甲方在前述分成模式下的年度收益总额达不到保底模式下的年度收益总额时,乙方在次年第一个月内结算周期内补足二者之间的收益差额部分。其中，双方合作项目场站的年度保底收益按照【</w:t>
      </w:r>
      <w:r>
        <w:rPr>
          <w:rFonts w:hint="eastAsia" w:ascii="宋体" w:hAnsi="宋体" w:eastAsia="宋体" w:cs="宋体"/>
          <w:bCs w:val="0"/>
          <w:sz w:val="24"/>
          <w:szCs w:val="24"/>
          <w:u w:val="single"/>
        </w:rPr>
        <w:t xml:space="preserve">   </w:t>
      </w:r>
      <w:r>
        <w:rPr>
          <w:rFonts w:hint="eastAsia" w:ascii="宋体" w:hAnsi="宋体" w:eastAsia="宋体" w:cs="宋体"/>
          <w:bCs w:val="0"/>
          <w:sz w:val="24"/>
          <w:szCs w:val="24"/>
        </w:rPr>
        <w:t>元/车位/月×车位数×12个月】标准自</w:t>
      </w:r>
      <w:r>
        <w:rPr>
          <w:rFonts w:hint="eastAsia" w:ascii="宋体" w:hAnsi="宋体" w:eastAsia="宋体" w:cs="宋体"/>
          <w:sz w:val="24"/>
          <w:szCs w:val="24"/>
        </w:rPr>
        <w:t>建设免租期</w:t>
      </w:r>
      <w:r>
        <w:rPr>
          <w:rFonts w:hint="eastAsia" w:ascii="宋体" w:hAnsi="宋体" w:eastAsia="宋体" w:cs="宋体"/>
          <w:bCs w:val="0"/>
          <w:sz w:val="24"/>
          <w:szCs w:val="24"/>
        </w:rPr>
        <w:t>满之日开始计算。</w:t>
      </w:r>
    </w:p>
    <w:p w14:paraId="7C806606">
      <w:pPr>
        <w:spacing w:before="82" w:line="520" w:lineRule="exact"/>
        <w:ind w:left="9" w:firstLine="480" w:firstLineChars="200"/>
        <w:rPr>
          <w:rFonts w:hint="eastAsia" w:ascii="宋体" w:hAnsi="宋体" w:eastAsia="宋体" w:cs="宋体"/>
          <w:sz w:val="24"/>
          <w:szCs w:val="24"/>
        </w:rPr>
      </w:pPr>
      <w:r>
        <w:rPr>
          <w:rFonts w:hint="eastAsia" w:ascii="宋体" w:hAnsi="宋体" w:eastAsia="宋体" w:cs="宋体"/>
          <w:sz w:val="24"/>
          <w:szCs w:val="24"/>
        </w:rPr>
        <w:t xml:space="preserve">5.3 </w:t>
      </w:r>
      <w:r>
        <w:rPr>
          <w:rFonts w:hint="eastAsia" w:ascii="宋体" w:hAnsi="宋体" w:eastAsia="宋体" w:cs="宋体"/>
          <w:b/>
          <w:bCs/>
          <w:color w:val="000000" w:themeColor="text1"/>
          <w:sz w:val="24"/>
          <w:szCs w:val="24"/>
          <w14:textFill>
            <w14:solidFill>
              <w14:schemeClr w14:val="tx1"/>
            </w14:solidFill>
          </w14:textFill>
        </w:rPr>
        <w:t>项目收益</w:t>
      </w:r>
      <w:r>
        <w:rPr>
          <w:rFonts w:hint="eastAsia" w:ascii="宋体" w:hAnsi="宋体" w:eastAsia="宋体" w:cs="宋体"/>
          <w:b/>
          <w:bCs/>
          <w:sz w:val="24"/>
          <w:szCs w:val="24"/>
        </w:rPr>
        <w:t>：</w:t>
      </w:r>
      <w:r>
        <w:rPr>
          <w:rFonts w:hint="eastAsia" w:ascii="宋体" w:hAnsi="宋体" w:eastAsia="宋体" w:cs="宋体"/>
          <w:sz w:val="24"/>
          <w:szCs w:val="24"/>
        </w:rPr>
        <w:t>在一个结算周期内，项目收入减去项目支出，即为本项目在该周期内的税前可支配收益。</w:t>
      </w:r>
    </w:p>
    <w:p w14:paraId="0511AAF3">
      <w:pPr>
        <w:spacing w:before="82"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b/>
          <w:bCs/>
          <w:sz w:val="24"/>
          <w:szCs w:val="24"/>
        </w:rPr>
        <w:t>项目收入：</w:t>
      </w:r>
      <w:r>
        <w:rPr>
          <w:rFonts w:hint="eastAsia" w:ascii="宋体" w:hAnsi="宋体" w:eastAsia="宋体" w:cs="宋体"/>
          <w:sz w:val="24"/>
          <w:szCs w:val="24"/>
        </w:rPr>
        <w:t>指在该合作场地基础上产生的所有含税收入，包括但不限于本项目充电站第三方运营平台通过线上收取的新能源车主所支付的电费及服务费、APP线上商城、线下休息区、场站广告投放等所有相关收入。乙方应为甲方提供充电平台账号以便甲方查看项目收入。</w:t>
      </w:r>
    </w:p>
    <w:p w14:paraId="5D5EF896">
      <w:pPr>
        <w:spacing w:before="82"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b/>
          <w:bCs/>
          <w:sz w:val="24"/>
          <w:szCs w:val="24"/>
        </w:rPr>
        <w:t>项目支出：</w:t>
      </w:r>
      <w:r>
        <w:rPr>
          <w:rFonts w:hint="eastAsia" w:ascii="宋体" w:hAnsi="宋体" w:eastAsia="宋体" w:cs="宋体"/>
          <w:sz w:val="24"/>
          <w:szCs w:val="24"/>
        </w:rPr>
        <w:t>指因维持项目运营产生的实际支出费用，包括但不限于甲乙双方基于项目运营所需的向国家电网或第三方支付的电费、向充电站第三方运营管理平台支付的费用、充电站的电损、现场管理人员人工成本、给充电客户开具发票应缴纳的税赋、合作场地及设施日常维修、维护成本等费用。对于前述费用的产生，均需保留相关具有合法来源的真实的财务凭证以供甲乙双方进行对账使用。本条所指的项目支出不包含乙方投入的工程及设施折旧费。</w:t>
      </w:r>
    </w:p>
    <w:p w14:paraId="6491581D">
      <w:pPr>
        <w:spacing w:before="82" w:line="52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（3）双方同意上述“项目收入”、“项目支出”条款所列的类别均为暂定，合作项目正式投入运营后，双方将另行对具体产生的项目类别进行书面确认。</w:t>
      </w:r>
    </w:p>
    <w:p w14:paraId="2658D0DC">
      <w:pPr>
        <w:spacing w:line="520" w:lineRule="exact"/>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（4）合作项目如申请获得政府相关补贴，关于设施设备和项目运营的补贴收益归乙方所有。</w:t>
      </w:r>
    </w:p>
    <w:p w14:paraId="4C1C18F3">
      <w:pPr>
        <w:spacing w:line="52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5.4 价格制定：合作充电站运营期间向相关新能源车主收取的充电电费和服务费的收费定价及调整由乙方制定，乙方定价及调整的方案均应当以书面形式向甲方进行提交备案。</w:t>
      </w:r>
    </w:p>
    <w:p w14:paraId="4C57AAC2">
      <w:pPr>
        <w:spacing w:line="52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5.5 在合作期限内，甲方有权安排总计不超过三次的项目收益</w:t>
      </w:r>
      <w:bookmarkStart w:id="1" w:name="OLE_LINK1"/>
      <w:r>
        <w:rPr>
          <w:rFonts w:hint="eastAsia" w:ascii="宋体" w:hAnsi="宋体" w:eastAsia="宋体" w:cs="宋体"/>
          <w:sz w:val="24"/>
          <w:szCs w:val="24"/>
        </w:rPr>
        <w:t>审计</w:t>
      </w:r>
      <w:bookmarkEnd w:id="1"/>
      <w:r>
        <w:rPr>
          <w:rFonts w:hint="eastAsia" w:ascii="宋体" w:hAnsi="宋体" w:eastAsia="宋体" w:cs="宋体"/>
          <w:sz w:val="24"/>
          <w:szCs w:val="24"/>
        </w:rPr>
        <w:t>，对此乙方在合理范围内予以配合。</w:t>
      </w:r>
    </w:p>
    <w:p w14:paraId="0D701B91">
      <w:pPr>
        <w:spacing w:line="520" w:lineRule="exact"/>
        <w:ind w:firstLine="482" w:firstLineChars="200"/>
        <w:jc w:val="left"/>
        <w:rPr>
          <w:rFonts w:hint="eastAsia" w:ascii="宋体" w:hAnsi="宋体" w:eastAsia="宋体" w:cs="宋体"/>
          <w:b/>
          <w:bCs/>
          <w:sz w:val="24"/>
          <w:szCs w:val="24"/>
        </w:rPr>
      </w:pPr>
      <w:r>
        <w:rPr>
          <w:rFonts w:hint="eastAsia" w:ascii="宋体" w:hAnsi="宋体" w:eastAsia="宋体" w:cs="宋体"/>
          <w:b/>
          <w:bCs/>
          <w:sz w:val="24"/>
          <w:szCs w:val="24"/>
        </w:rPr>
        <w:t>六、费用结算</w:t>
      </w:r>
    </w:p>
    <w:p w14:paraId="5ADFA374">
      <w:pPr>
        <w:spacing w:line="520" w:lineRule="exact"/>
        <w:ind w:firstLine="480"/>
        <w:jc w:val="left"/>
        <w:rPr>
          <w:rFonts w:hint="eastAsia" w:ascii="宋体" w:hAnsi="宋体" w:eastAsia="宋体" w:cs="宋体"/>
          <w:sz w:val="24"/>
          <w:szCs w:val="24"/>
        </w:rPr>
      </w:pPr>
      <w:r>
        <w:rPr>
          <w:rFonts w:hint="eastAsia" w:ascii="宋体" w:hAnsi="宋体" w:eastAsia="宋体" w:cs="宋体"/>
          <w:sz w:val="24"/>
          <w:szCs w:val="24"/>
        </w:rPr>
        <w:t>6.1</w:t>
      </w:r>
      <w:bookmarkEnd w:id="0"/>
      <w:r>
        <w:rPr>
          <w:rFonts w:hint="eastAsia" w:ascii="宋体" w:hAnsi="宋体" w:eastAsia="宋体" w:cs="宋体"/>
          <w:sz w:val="24"/>
          <w:szCs w:val="24"/>
        </w:rPr>
        <w:t xml:space="preserve"> 电费结算：本条款所述电费为合作项目电力接入点的充电设施所使用电费，相关充电设施的用电为单独计量，用电计量表的安装由乙方负责，充电设施所使用电费以用电计量表所记载数据按国家电网当时的电费标准每月进行结算。乙方应当在每月10日前就项目上月电费的结算完成抄表并确认电费金额，相关数据及费用确认后均应当以书面形式向甲方进行提交。</w:t>
      </w:r>
    </w:p>
    <w:p w14:paraId="4112CC1C">
      <w:pPr>
        <w:spacing w:line="52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6.2 本协议项下所述合作项目收益对账结算周期时间为一个季度，即从项目竣工验收正式投入运营之日起，双方应当在每季度的第一个月20个自然日内共同按照本协议所约定内容完成对上一个运营对账周期的项目收益核算和确认，双方核对无误后甲方给乙方开具应得收益的等额增值税专用发票，乙方收到发票确认无误后5个工作日内，将甲方上一季度所应得的收益分成支付至甲方指定账户。</w:t>
      </w:r>
    </w:p>
    <w:p w14:paraId="2F142F84">
      <w:pPr>
        <w:spacing w:line="520" w:lineRule="exact"/>
        <w:ind w:left="479" w:leftChars="228"/>
        <w:jc w:val="left"/>
        <w:rPr>
          <w:rFonts w:hint="eastAsia" w:ascii="宋体" w:hAnsi="宋体" w:eastAsia="宋体" w:cs="宋体"/>
          <w:sz w:val="24"/>
          <w:szCs w:val="24"/>
        </w:rPr>
      </w:pPr>
      <w:r>
        <w:rPr>
          <w:rFonts w:hint="eastAsia" w:ascii="宋体" w:hAnsi="宋体" w:eastAsia="宋体" w:cs="宋体"/>
          <w:sz w:val="24"/>
          <w:szCs w:val="24"/>
        </w:rPr>
        <w:t>6.3 相关费用结算账户及开票抬头及信息内容如下：</w:t>
      </w:r>
      <w:r>
        <w:rPr>
          <w:rFonts w:hint="eastAsia" w:ascii="宋体" w:hAnsi="宋体" w:eastAsia="宋体" w:cs="宋体"/>
          <w:sz w:val="24"/>
          <w:szCs w:val="24"/>
        </w:rPr>
        <w:br w:type="textWrapping"/>
      </w:r>
      <w:r>
        <w:rPr>
          <w:rFonts w:hint="eastAsia" w:ascii="宋体" w:hAnsi="宋体" w:eastAsia="宋体" w:cs="宋体"/>
          <w:sz w:val="24"/>
          <w:szCs w:val="24"/>
        </w:rPr>
        <w:t>甲方指定收款账户</w:t>
      </w:r>
      <w:r>
        <w:rPr>
          <w:rFonts w:hint="eastAsia" w:ascii="宋体" w:hAnsi="宋体" w:eastAsia="宋体" w:cs="宋体"/>
          <w:sz w:val="24"/>
          <w:szCs w:val="24"/>
        </w:rPr>
        <w:br w:type="textWrapping"/>
      </w:r>
      <w:r>
        <w:rPr>
          <w:rFonts w:hint="eastAsia" w:ascii="宋体" w:hAnsi="宋体" w:eastAsia="宋体" w:cs="宋体"/>
          <w:sz w:val="24"/>
          <w:szCs w:val="24"/>
        </w:rPr>
        <w:t>账户名称：</w:t>
      </w:r>
    </w:p>
    <w:p w14:paraId="5ACF8654">
      <w:pPr>
        <w:spacing w:line="520" w:lineRule="exact"/>
        <w:ind w:left="479" w:leftChars="228"/>
        <w:rPr>
          <w:rFonts w:hint="eastAsia" w:ascii="宋体" w:hAnsi="宋体" w:eastAsia="宋体" w:cs="宋体"/>
          <w:sz w:val="24"/>
          <w:szCs w:val="24"/>
        </w:rPr>
      </w:pPr>
      <w:r>
        <w:rPr>
          <w:rFonts w:hint="eastAsia" w:ascii="宋体" w:hAnsi="宋体" w:eastAsia="宋体" w:cs="宋体"/>
          <w:sz w:val="24"/>
          <w:szCs w:val="24"/>
        </w:rPr>
        <w:t>税号：</w:t>
      </w:r>
      <w:r>
        <w:rPr>
          <w:rFonts w:hint="eastAsia" w:ascii="宋体" w:hAnsi="宋体" w:eastAsia="宋体" w:cs="宋体"/>
          <w:sz w:val="24"/>
          <w:szCs w:val="24"/>
        </w:rPr>
        <w:br w:type="textWrapping"/>
      </w:r>
      <w:r>
        <w:rPr>
          <w:rFonts w:hint="eastAsia" w:ascii="宋体" w:hAnsi="宋体" w:eastAsia="宋体" w:cs="宋体"/>
          <w:sz w:val="24"/>
          <w:szCs w:val="24"/>
        </w:rPr>
        <w:t>开户行名称：</w:t>
      </w:r>
    </w:p>
    <w:p w14:paraId="2BEE5AE1">
      <w:pPr>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开户银行账号：</w:t>
      </w:r>
    </w:p>
    <w:p w14:paraId="48D65F4E">
      <w:pPr>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地址：</w:t>
      </w:r>
    </w:p>
    <w:p w14:paraId="59310FE2">
      <w:pPr>
        <w:spacing w:line="520" w:lineRule="exact"/>
        <w:rPr>
          <w:rFonts w:hint="eastAsia" w:ascii="宋体" w:hAnsi="宋体" w:eastAsia="宋体" w:cs="宋体"/>
          <w:sz w:val="24"/>
          <w:szCs w:val="24"/>
        </w:rPr>
      </w:pPr>
    </w:p>
    <w:p w14:paraId="4B23E01A">
      <w:pPr>
        <w:spacing w:line="520" w:lineRule="exact"/>
        <w:ind w:firstLine="480" w:firstLineChars="200"/>
        <w:rPr>
          <w:rFonts w:hint="eastAsia" w:ascii="宋体" w:hAnsi="宋体" w:eastAsia="宋体" w:cs="宋体"/>
          <w:snapToGrid w:val="0"/>
          <w:color w:val="000000"/>
          <w:kern w:val="0"/>
          <w:sz w:val="24"/>
          <w:szCs w:val="24"/>
        </w:rPr>
      </w:pPr>
      <w:r>
        <w:rPr>
          <w:rFonts w:hint="eastAsia" w:ascii="宋体" w:hAnsi="宋体" w:eastAsia="宋体" w:cs="宋体"/>
          <w:snapToGrid w:val="0"/>
          <w:color w:val="000000"/>
          <w:kern w:val="0"/>
          <w:sz w:val="24"/>
          <w:szCs w:val="24"/>
        </w:rPr>
        <w:t>乙方开票信息</w:t>
      </w:r>
    </w:p>
    <w:p w14:paraId="6B2E3649">
      <w:pPr>
        <w:tabs>
          <w:tab w:val="left" w:pos="312"/>
        </w:tabs>
        <w:spacing w:line="520" w:lineRule="exact"/>
        <w:ind w:firstLine="480" w:firstLineChars="200"/>
        <w:rPr>
          <w:rFonts w:hint="eastAsia" w:ascii="宋体" w:hAnsi="宋体" w:eastAsia="宋体" w:cs="宋体"/>
          <w:snapToGrid w:val="0"/>
          <w:color w:val="000000"/>
          <w:kern w:val="0"/>
          <w:sz w:val="24"/>
          <w:szCs w:val="24"/>
        </w:rPr>
      </w:pPr>
      <w:r>
        <w:rPr>
          <w:rFonts w:hint="eastAsia" w:ascii="宋体" w:hAnsi="宋体" w:eastAsia="宋体" w:cs="宋体"/>
          <w:snapToGrid w:val="0"/>
          <w:color w:val="000000"/>
          <w:kern w:val="0"/>
          <w:sz w:val="24"/>
          <w:szCs w:val="24"/>
        </w:rPr>
        <w:t xml:space="preserve">账户名称： </w:t>
      </w:r>
    </w:p>
    <w:p w14:paraId="343D588B">
      <w:pPr>
        <w:tabs>
          <w:tab w:val="left" w:pos="312"/>
        </w:tabs>
        <w:spacing w:line="520" w:lineRule="exact"/>
        <w:ind w:firstLine="480" w:firstLineChars="200"/>
        <w:rPr>
          <w:rFonts w:hint="eastAsia" w:ascii="宋体" w:hAnsi="宋体" w:eastAsia="宋体" w:cs="宋体"/>
          <w:snapToGrid w:val="0"/>
          <w:color w:val="000000"/>
          <w:kern w:val="0"/>
          <w:sz w:val="24"/>
          <w:szCs w:val="24"/>
        </w:rPr>
      </w:pPr>
      <w:r>
        <w:rPr>
          <w:rFonts w:hint="eastAsia" w:ascii="宋体" w:hAnsi="宋体" w:eastAsia="宋体" w:cs="宋体"/>
          <w:snapToGrid w:val="0"/>
          <w:color w:val="000000"/>
          <w:kern w:val="0"/>
          <w:sz w:val="24"/>
          <w:szCs w:val="24"/>
        </w:rPr>
        <w:t xml:space="preserve">税号： </w:t>
      </w:r>
    </w:p>
    <w:p w14:paraId="50EC0A53">
      <w:pPr>
        <w:tabs>
          <w:tab w:val="left" w:pos="312"/>
        </w:tabs>
        <w:spacing w:line="520" w:lineRule="exact"/>
        <w:ind w:firstLine="480" w:firstLineChars="200"/>
        <w:rPr>
          <w:rFonts w:hint="eastAsia" w:ascii="宋体" w:hAnsi="宋体" w:eastAsia="宋体" w:cs="宋体"/>
          <w:snapToGrid w:val="0"/>
          <w:color w:val="000000"/>
          <w:kern w:val="0"/>
          <w:sz w:val="24"/>
          <w:szCs w:val="24"/>
        </w:rPr>
      </w:pPr>
      <w:r>
        <w:rPr>
          <w:rFonts w:hint="eastAsia" w:ascii="宋体" w:hAnsi="宋体" w:eastAsia="宋体" w:cs="宋体"/>
          <w:snapToGrid w:val="0"/>
          <w:color w:val="000000"/>
          <w:kern w:val="0"/>
          <w:sz w:val="24"/>
          <w:szCs w:val="24"/>
        </w:rPr>
        <w:t>开户行名称：</w:t>
      </w:r>
    </w:p>
    <w:p w14:paraId="36E56A36">
      <w:pPr>
        <w:tabs>
          <w:tab w:val="left" w:pos="312"/>
        </w:tabs>
        <w:spacing w:line="520" w:lineRule="exact"/>
        <w:ind w:firstLine="480" w:firstLineChars="200"/>
        <w:rPr>
          <w:rFonts w:hint="eastAsia" w:ascii="宋体" w:hAnsi="宋体" w:eastAsia="宋体" w:cs="宋体"/>
          <w:snapToGrid w:val="0"/>
          <w:color w:val="000000"/>
          <w:kern w:val="0"/>
          <w:sz w:val="24"/>
          <w:szCs w:val="24"/>
        </w:rPr>
      </w:pPr>
      <w:r>
        <w:rPr>
          <w:rFonts w:hint="eastAsia" w:ascii="宋体" w:hAnsi="宋体" w:eastAsia="宋体" w:cs="宋体"/>
          <w:snapToGrid w:val="0"/>
          <w:color w:val="000000"/>
          <w:kern w:val="0"/>
          <w:sz w:val="24"/>
          <w:szCs w:val="24"/>
        </w:rPr>
        <w:t>开户银行账号：</w:t>
      </w:r>
    </w:p>
    <w:p w14:paraId="5C7391DD">
      <w:pPr>
        <w:tabs>
          <w:tab w:val="left" w:pos="312"/>
        </w:tabs>
        <w:spacing w:line="520" w:lineRule="exact"/>
        <w:ind w:firstLine="480" w:firstLineChars="200"/>
        <w:rPr>
          <w:rFonts w:hint="eastAsia" w:ascii="宋体" w:hAnsi="宋体" w:eastAsia="宋体" w:cs="宋体"/>
          <w:snapToGrid w:val="0"/>
          <w:color w:val="000000"/>
          <w:kern w:val="0"/>
          <w:sz w:val="24"/>
          <w:szCs w:val="24"/>
        </w:rPr>
      </w:pPr>
      <w:r>
        <w:rPr>
          <w:rFonts w:hint="eastAsia" w:ascii="宋体" w:hAnsi="宋体" w:eastAsia="宋体" w:cs="宋体"/>
          <w:snapToGrid w:val="0"/>
          <w:color w:val="000000"/>
          <w:kern w:val="0"/>
          <w:sz w:val="24"/>
          <w:szCs w:val="24"/>
        </w:rPr>
        <w:t xml:space="preserve">地址： </w:t>
      </w:r>
    </w:p>
    <w:p w14:paraId="02014890">
      <w:pPr>
        <w:pStyle w:val="5"/>
        <w:spacing w:line="520" w:lineRule="exact"/>
        <w:ind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合作期内，任意一方上述指定收款账户及开票信息有变动的，均应当自变动发生之日起三天内书面通知另一方，逾期通知或未通知的，由此所产生的损失均由过错方自行承担。</w:t>
      </w:r>
    </w:p>
    <w:p w14:paraId="3C41A57C">
      <w:pPr>
        <w:pStyle w:val="5"/>
        <w:spacing w:line="520" w:lineRule="exact"/>
        <w:ind w:firstLine="482" w:firstLineChars="200"/>
        <w:rPr>
          <w:rFonts w:hint="eastAsia" w:ascii="宋体" w:hAnsi="宋体" w:eastAsia="宋体" w:cs="宋体"/>
          <w:sz w:val="24"/>
          <w:szCs w:val="24"/>
          <w:lang w:eastAsia="zh-CN"/>
        </w:rPr>
      </w:pPr>
      <w:r>
        <w:rPr>
          <w:rFonts w:hint="eastAsia" w:ascii="宋体" w:hAnsi="宋体" w:eastAsia="宋体" w:cs="宋体"/>
          <w:b/>
          <w:bCs/>
          <w:sz w:val="24"/>
          <w:szCs w:val="24"/>
          <w:lang w:eastAsia="zh-CN"/>
        </w:rPr>
        <w:t>七、双方权利义务</w:t>
      </w:r>
    </w:p>
    <w:p w14:paraId="3E38ECD4">
      <w:pPr>
        <w:pStyle w:val="5"/>
        <w:spacing w:line="520" w:lineRule="exact"/>
        <w:ind w:firstLine="472" w:firstLineChars="200"/>
        <w:rPr>
          <w:rFonts w:hint="eastAsia"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7.1 甲方应提供符合本次合作所需要的场地符合工业用地或商业用地的性质要求，可供乙方建设、安装充电、发电及储能基础设施。</w:t>
      </w:r>
    </w:p>
    <w:p w14:paraId="6C94CECC">
      <w:pPr>
        <w:pStyle w:val="5"/>
        <w:spacing w:line="520" w:lineRule="exact"/>
        <w:ind w:firstLine="472" w:firstLineChars="200"/>
        <w:rPr>
          <w:rFonts w:hint="eastAsia"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7.2 甲方保证：（1）真实合法拥有合作场地的使用权，无任何纠纷，并就该场地拟用于乙方开展充电桩运营活动已取得相关利害关系人的同意；（2）合作场地除本协议第一条说明的权利限制外，不存在任何其他权利瑕疵，且截至本协议签订之日合作场地未被纳入拆迁改造计划；（3）在任何法院、仲裁委或者行政机关均没有影响本协议效力或执行的未向乙方披露的诉讼、裁决或者其他程序；亦就其所知目前不存在任何可能引起或者导致前述诉讼、仲裁或者行政处罚程序的纠纷或违法行为；（4）在合作期内，甲方不会人为干扰故意断电，以保证合作充电站正常供应充电服务。</w:t>
      </w:r>
    </w:p>
    <w:p w14:paraId="112FEBD1">
      <w:pPr>
        <w:pStyle w:val="5"/>
        <w:spacing w:line="520" w:lineRule="exact"/>
        <w:ind w:firstLine="472" w:firstLineChars="200"/>
        <w:rPr>
          <w:rFonts w:hint="eastAsia"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7.3 本协议签约以后，甲方应配合向乙方提供办理充电站建设开工前及营运前各项手续所需资料，对乙方的项目建设和改造工作提供必要的支持和协助，包括但不限于配合乙方提供相关场地产权资料、平面图进行合作项目的发改委立项和电建部门申报，协助乙方办理消防、安全、环保、工信等方面的报批手续。</w:t>
      </w:r>
    </w:p>
    <w:p w14:paraId="564CEC1A">
      <w:pPr>
        <w:pStyle w:val="5"/>
        <w:spacing w:line="520" w:lineRule="exact"/>
        <w:ind w:firstLine="472" w:firstLineChars="200"/>
        <w:rPr>
          <w:rFonts w:hint="eastAsia"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7.4 甲方应配合合作项目24小时对外运营以及充电车位专用，乙方运营该项目如需对接停车场云管理平台，甲方需协助乙方完成平台对接事宜。</w:t>
      </w:r>
    </w:p>
    <w:p w14:paraId="42069CCF">
      <w:pPr>
        <w:pStyle w:val="5"/>
        <w:spacing w:line="520" w:lineRule="exact"/>
        <w:ind w:firstLine="472" w:firstLineChars="200"/>
        <w:rPr>
          <w:rFonts w:hint="eastAsia"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7.5 甲方不干涉乙方的整体规划和使用， 在不违反相关规定的前提下，应协助乙方安装广告和指引，提升场站的引流和使用体验等。</w:t>
      </w:r>
    </w:p>
    <w:p w14:paraId="145A31E2">
      <w:pPr>
        <w:pStyle w:val="5"/>
        <w:spacing w:line="520" w:lineRule="exact"/>
        <w:ind w:firstLine="472" w:firstLineChars="200"/>
        <w:rPr>
          <w:rFonts w:hint="eastAsia"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7.6 甲方应于合同签订后</w:t>
      </w:r>
      <w:r>
        <w:rPr>
          <w:rFonts w:hint="eastAsia" w:ascii="宋体" w:hAnsi="宋体" w:eastAsia="宋体" w:cs="宋体"/>
          <w:color w:val="auto"/>
          <w:spacing w:val="-2"/>
          <w:sz w:val="24"/>
          <w:szCs w:val="24"/>
          <w:u w:val="single"/>
          <w:lang w:eastAsia="zh-CN"/>
        </w:rPr>
        <w:t xml:space="preserve"> 5 </w:t>
      </w:r>
      <w:r>
        <w:rPr>
          <w:rFonts w:hint="eastAsia" w:ascii="宋体" w:hAnsi="宋体" w:eastAsia="宋体" w:cs="宋体"/>
          <w:color w:val="auto"/>
          <w:spacing w:val="-2"/>
          <w:sz w:val="24"/>
          <w:szCs w:val="24"/>
          <w:lang w:eastAsia="zh-CN"/>
        </w:rPr>
        <w:t>个工作日内向乙方交付合作场地，若合作场地实际交付日晚于前述日期的，则场站建设施工期限和双方合作期限相应顺延。</w:t>
      </w:r>
    </w:p>
    <w:p w14:paraId="3F7E2B5F">
      <w:pPr>
        <w:pStyle w:val="5"/>
        <w:spacing w:line="520" w:lineRule="exact"/>
        <w:ind w:firstLine="472" w:firstLineChars="200"/>
        <w:rPr>
          <w:rFonts w:hint="eastAsia"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7.7 乙方应在合同生效且甲方交付场地给乙方后</w:t>
      </w:r>
      <w:r>
        <w:rPr>
          <w:rFonts w:hint="eastAsia" w:ascii="宋体" w:hAnsi="宋体" w:eastAsia="宋体" w:cs="宋体"/>
          <w:color w:val="auto"/>
          <w:spacing w:val="-2"/>
          <w:sz w:val="24"/>
          <w:szCs w:val="24"/>
          <w:u w:val="single"/>
          <w:lang w:eastAsia="zh-CN"/>
        </w:rPr>
        <w:t xml:space="preserve">  5   </w:t>
      </w:r>
      <w:r>
        <w:rPr>
          <w:rFonts w:hint="eastAsia" w:ascii="宋体" w:hAnsi="宋体" w:eastAsia="宋体" w:cs="宋体"/>
          <w:color w:val="auto"/>
          <w:spacing w:val="-2"/>
          <w:sz w:val="24"/>
          <w:szCs w:val="24"/>
          <w:lang w:eastAsia="zh-CN"/>
        </w:rPr>
        <w:t>个工作日内完成项目勘察、设计并出具设计方案以及项目实施效果图。</w:t>
      </w:r>
    </w:p>
    <w:p w14:paraId="66F74028">
      <w:pPr>
        <w:pStyle w:val="5"/>
        <w:spacing w:line="520" w:lineRule="exact"/>
        <w:ind w:firstLine="472" w:firstLineChars="200"/>
        <w:rPr>
          <w:rFonts w:hint="eastAsia"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7.8 乙方在立项申报手续完成以后按质按量地完成合作项目建设，在</w:t>
      </w:r>
      <w:r>
        <w:rPr>
          <w:rFonts w:hint="eastAsia" w:ascii="宋体" w:hAnsi="宋体" w:eastAsia="宋体" w:cs="宋体"/>
          <w:color w:val="auto"/>
          <w:spacing w:val="-2"/>
          <w:sz w:val="24"/>
          <w:szCs w:val="24"/>
          <w:u w:val="single"/>
          <w:lang w:eastAsia="zh-CN"/>
        </w:rPr>
        <w:t>2025</w:t>
      </w:r>
      <w:r>
        <w:rPr>
          <w:rFonts w:hint="eastAsia" w:ascii="宋体" w:hAnsi="宋体" w:eastAsia="宋体" w:cs="宋体"/>
          <w:color w:val="auto"/>
          <w:spacing w:val="-2"/>
          <w:sz w:val="24"/>
          <w:szCs w:val="24"/>
          <w:lang w:eastAsia="zh-CN"/>
        </w:rPr>
        <w:t>年</w:t>
      </w:r>
      <w:r>
        <w:rPr>
          <w:rFonts w:hint="eastAsia" w:ascii="宋体" w:hAnsi="宋体" w:eastAsia="宋体" w:cs="宋体"/>
          <w:color w:val="auto"/>
          <w:spacing w:val="-2"/>
          <w:sz w:val="24"/>
          <w:szCs w:val="24"/>
          <w:u w:val="single"/>
          <w:lang w:eastAsia="zh-CN"/>
        </w:rPr>
        <w:t>6</w:t>
      </w:r>
      <w:r>
        <w:rPr>
          <w:rFonts w:hint="eastAsia" w:ascii="宋体" w:hAnsi="宋体" w:eastAsia="宋体" w:cs="宋体"/>
          <w:color w:val="auto"/>
          <w:spacing w:val="-2"/>
          <w:sz w:val="24"/>
          <w:szCs w:val="24"/>
          <w:lang w:eastAsia="zh-CN"/>
        </w:rPr>
        <w:t>月</w:t>
      </w:r>
      <w:r>
        <w:rPr>
          <w:rFonts w:hint="eastAsia" w:ascii="宋体" w:hAnsi="宋体" w:eastAsia="宋体" w:cs="宋体"/>
          <w:color w:val="auto"/>
          <w:spacing w:val="-2"/>
          <w:sz w:val="24"/>
          <w:szCs w:val="24"/>
          <w:u w:val="single"/>
          <w:lang w:eastAsia="zh-CN"/>
        </w:rPr>
        <w:t>30</w:t>
      </w:r>
      <w:r>
        <w:rPr>
          <w:rFonts w:hint="eastAsia" w:ascii="宋体" w:hAnsi="宋体" w:eastAsia="宋体" w:cs="宋体"/>
          <w:color w:val="auto"/>
          <w:spacing w:val="-2"/>
          <w:sz w:val="24"/>
          <w:szCs w:val="24"/>
          <w:lang w:eastAsia="zh-CN"/>
        </w:rPr>
        <w:t>日以前正式投入项目运营，并保证运营周期内能够持续稳定经营。</w:t>
      </w:r>
    </w:p>
    <w:p w14:paraId="0CA8AC85">
      <w:pPr>
        <w:pStyle w:val="5"/>
        <w:spacing w:line="520" w:lineRule="exact"/>
        <w:ind w:firstLine="472" w:firstLineChars="200"/>
        <w:rPr>
          <w:rFonts w:hint="eastAsia"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7.9 由乙方（或乙方指定的第三方）为合作项目提供专业的设备运维服务，并保证运维质量以及由乙方所出资建设的设施设备安全可靠。</w:t>
      </w:r>
    </w:p>
    <w:p w14:paraId="78699432">
      <w:pPr>
        <w:pStyle w:val="5"/>
        <w:spacing w:line="520" w:lineRule="exact"/>
        <w:ind w:firstLine="472" w:firstLineChars="200"/>
        <w:rPr>
          <w:rFonts w:hint="eastAsia"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7.10 乙方承担对充电站区域范围内所有充电设施进行升级改造的义务，升级改造的费用项目支出，并确保升级改造前后的所有设备均符合国家最新质量标准。</w:t>
      </w:r>
    </w:p>
    <w:p w14:paraId="4B729F2B">
      <w:pPr>
        <w:pStyle w:val="5"/>
        <w:spacing w:line="520" w:lineRule="exact"/>
        <w:ind w:firstLine="472" w:firstLineChars="200"/>
        <w:rPr>
          <w:rFonts w:hint="eastAsia"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7.11 甲乙双方应及时完成合作项目相关的所有费用的核对以及结算，且乙方应按本协议的内容在约定时间内向甲方支付相关收益分成。</w:t>
      </w:r>
    </w:p>
    <w:p w14:paraId="321B0F6F">
      <w:pPr>
        <w:pStyle w:val="5"/>
        <w:spacing w:line="520" w:lineRule="exact"/>
        <w:ind w:firstLine="472" w:firstLineChars="200"/>
        <w:rPr>
          <w:rFonts w:hint="eastAsia"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7.12 在合作期内，甲方用于合作的场地在没有获得乙方书面同意的情况下，不得给第三方使用或设定抵押。</w:t>
      </w:r>
    </w:p>
    <w:p w14:paraId="1E8B47CE">
      <w:pPr>
        <w:pStyle w:val="5"/>
        <w:spacing w:line="520" w:lineRule="exact"/>
        <w:ind w:firstLine="472" w:firstLineChars="200"/>
        <w:rPr>
          <w:rFonts w:hint="eastAsia" w:ascii="宋体" w:hAnsi="宋体" w:eastAsia="宋体" w:cs="宋体"/>
          <w:sz w:val="24"/>
          <w:szCs w:val="24"/>
          <w:lang w:eastAsia="zh-CN"/>
        </w:rPr>
      </w:pPr>
      <w:r>
        <w:rPr>
          <w:rFonts w:hint="eastAsia" w:ascii="宋体" w:hAnsi="宋体" w:eastAsia="宋体" w:cs="宋体"/>
          <w:color w:val="auto"/>
          <w:spacing w:val="-2"/>
          <w:sz w:val="24"/>
          <w:szCs w:val="24"/>
          <w:lang w:eastAsia="zh-CN"/>
        </w:rPr>
        <w:t>7.13 合作项目</w:t>
      </w:r>
      <w:r>
        <w:rPr>
          <w:rFonts w:hint="eastAsia" w:ascii="宋体" w:hAnsi="宋体" w:eastAsia="宋体" w:cs="宋体"/>
          <w:sz w:val="24"/>
          <w:szCs w:val="24"/>
          <w:lang w:eastAsia="zh-CN"/>
        </w:rPr>
        <w:t>运营过程中因城市规划调整，造成该场站不能正常经营，乙方投建的设施设备需进行迁移的，由甲方配合对场地重新选址，协助乙方对设备进行迁移，因重新选址和设备迁移所产生的费用列入项目支出。如合作前甲方已知场地所属宗地后期或有城市规划调整计划而未告知的，造成乙方选址建站、设备拆除移位费用损失的，由甲方承担全部赔偿责任。</w:t>
      </w:r>
    </w:p>
    <w:p w14:paraId="411F35D7">
      <w:pPr>
        <w:pStyle w:val="5"/>
        <w:spacing w:line="52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7.14 本协议合作期间内，如甲方合作场地因国家或地方政策涉及征收（拆迁）、征用等可能导致项目无法继续运营的事项，甲方需在收到相关部门所发出的书面告知书之日起7日内，或经确认的搬迁等事项生效之日前2个月以书面方式通知乙方，本协议自相关通知送达至乙方之日起终止。本协议终止后，因合作场地被征收（拆迁）、征用所获得的相关政府部门或第三方</w:t>
      </w:r>
      <w:r>
        <w:rPr>
          <w:rFonts w:hint="eastAsia" w:ascii="宋体" w:hAnsi="宋体" w:eastAsia="宋体" w:cs="宋体"/>
          <w:color w:val="auto"/>
          <w:sz w:val="24"/>
          <w:szCs w:val="24"/>
          <w:lang w:eastAsia="zh-CN"/>
        </w:rPr>
        <w:t>针对项目</w:t>
      </w:r>
      <w:r>
        <w:rPr>
          <w:rFonts w:hint="eastAsia" w:ascii="宋体" w:hAnsi="宋体" w:eastAsia="宋体" w:cs="宋体"/>
          <w:sz w:val="24"/>
          <w:szCs w:val="24"/>
          <w:lang w:eastAsia="zh-CN"/>
        </w:rPr>
        <w:t>的运营补偿或赔偿和乙方出资建设的设备设施所得政府拆迁补偿款归乙方所有；对该项目所在土地的征收赔偿或补偿归甲方所有。</w:t>
      </w:r>
    </w:p>
    <w:p w14:paraId="213AA74C">
      <w:pPr>
        <w:pStyle w:val="5"/>
        <w:spacing w:line="52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7.15 本协议合作期间内，如甲方合作场地因甲方自身开发需要而导致合作充电站无法继续运营的，甲方需在上述开发事项实际动工之日前2个月以书面方式通知乙方，针对上述情形，甲方应积极与乙方协商。经双方同意并签订书面解除协议之日起，本协议终止。</w:t>
      </w:r>
    </w:p>
    <w:p w14:paraId="2BD74438">
      <w:pPr>
        <w:pStyle w:val="5"/>
        <w:spacing w:line="52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7.16 因不可抗力（包括但不限于地震、台风、洪水、火灾、瘟疫、其他天灾、战争、政变或其他类似事件）导致本协议内容无法继续履行，或继续履行将明显损害协议一方合法权益的，另一方应在事件发生之日起7日内书面通知对方，并在事件消失后15个工作日内提交政府相关部门的书面证明文件，遇有不可抗力事件的一方应采取措施避免损失扩大。</w:t>
      </w:r>
    </w:p>
    <w:p w14:paraId="5BB03064">
      <w:pPr>
        <w:pStyle w:val="5"/>
        <w:spacing w:line="52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7.17 合作区域范围内所有设施设备如发生盗损等意外情况，甲乙双方应相互配合完成索赔事项及提供相关手续。</w:t>
      </w:r>
    </w:p>
    <w:p w14:paraId="62A82740">
      <w:pPr>
        <w:pStyle w:val="5"/>
        <w:spacing w:line="520" w:lineRule="exact"/>
        <w:ind w:firstLine="480" w:firstLineChars="20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sz w:val="24"/>
          <w:szCs w:val="24"/>
          <w:lang w:eastAsia="zh-CN"/>
        </w:rPr>
        <w:t>7.18 乙方在确保不损坏甲方因合作项目可得的合法权益，以及不影响合作项目正常经营的前提下，可以以其所有的设备开展包括但不限于抵押、贷款、金融租赁等法律法规所允许范围内的金融相关业务，</w:t>
      </w:r>
      <w:r>
        <w:rPr>
          <w:rFonts w:hint="eastAsia" w:ascii="宋体" w:hAnsi="宋体" w:eastAsia="宋体" w:cs="宋体"/>
          <w:color w:val="000000" w:themeColor="text1"/>
          <w:sz w:val="24"/>
          <w:szCs w:val="24"/>
          <w:lang w:eastAsia="zh-CN"/>
          <w14:textFill>
            <w14:solidFill>
              <w14:schemeClr w14:val="tx1"/>
            </w14:solidFill>
          </w14:textFill>
        </w:rPr>
        <w:t>对甲方造成财产损失或可得利益损失的，乙方承担赔偿责任。</w:t>
      </w:r>
    </w:p>
    <w:p w14:paraId="324CD642">
      <w:pPr>
        <w:pStyle w:val="5"/>
        <w:spacing w:line="520" w:lineRule="exact"/>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000000" w:themeColor="text1"/>
          <w:sz w:val="24"/>
          <w:szCs w:val="24"/>
          <w:lang w:eastAsia="zh-CN"/>
          <w14:textFill>
            <w14:solidFill>
              <w14:schemeClr w14:val="tx1"/>
            </w14:solidFill>
          </w14:textFill>
        </w:rPr>
        <w:t>7.19 建设运营期内，乙方在合作区域内的消防和用电安全，应当符合国家法律法规要求，并采取必要的保障措施确保场站的安全运营。乙方提供的充电桩质量符合国家标准，如因乙方原因导致充电汽车或附属设施的损毁，所有损失由乙方负责，</w:t>
      </w:r>
      <w:r>
        <w:rPr>
          <w:rFonts w:hint="eastAsia" w:ascii="宋体" w:hAnsi="宋体" w:eastAsia="宋体" w:cs="宋体"/>
          <w:color w:val="auto"/>
          <w:sz w:val="24"/>
          <w:szCs w:val="24"/>
          <w:lang w:eastAsia="zh-CN"/>
        </w:rPr>
        <w:t>非因乙方原因导致的安全事故，均按法律规定处理。</w:t>
      </w:r>
    </w:p>
    <w:p w14:paraId="71BB73C3">
      <w:pPr>
        <w:pStyle w:val="5"/>
        <w:spacing w:line="520" w:lineRule="exact"/>
        <w:ind w:firstLine="470" w:firstLineChars="200"/>
        <w:rPr>
          <w:rFonts w:hint="eastAsia" w:ascii="宋体" w:hAnsi="宋体" w:eastAsia="宋体" w:cs="宋体"/>
          <w:b/>
          <w:bCs/>
          <w:color w:val="auto"/>
          <w:spacing w:val="-3"/>
          <w:sz w:val="24"/>
          <w:szCs w:val="24"/>
          <w:lang w:eastAsia="zh-CN"/>
        </w:rPr>
      </w:pPr>
      <w:r>
        <w:rPr>
          <w:rFonts w:hint="eastAsia" w:ascii="宋体" w:hAnsi="宋体" w:eastAsia="宋体" w:cs="宋体"/>
          <w:b/>
          <w:bCs/>
          <w:color w:val="auto"/>
          <w:spacing w:val="-3"/>
          <w:sz w:val="24"/>
          <w:szCs w:val="24"/>
          <w:lang w:eastAsia="zh-CN"/>
        </w:rPr>
        <w:t>八、协议的修改、解除与终止</w:t>
      </w:r>
    </w:p>
    <w:p w14:paraId="7A97F3BD">
      <w:pPr>
        <w:pStyle w:val="5"/>
        <w:spacing w:line="52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8.1 若因合作项目报批存在问题，导致合作无法进行的，本合作协议提前终止，双方互不负违约责任。</w:t>
      </w:r>
    </w:p>
    <w:p w14:paraId="3473622D">
      <w:pPr>
        <w:pStyle w:val="5"/>
        <w:spacing w:line="52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8.2 若基于不可抗力因素导致本协议不能履行或不能完全履行的，该情形下甲乙双方互不承担违约责任，双方配合完成财务清算以及结算后，本协议即终止。此时乙方应当拆除合作项目相关设施设备并恢复场地至甲方交付乙方使用时功能状态，甲方应当予以必要的协助，由此所产生的费用由各方自行承担。</w:t>
      </w:r>
    </w:p>
    <w:p w14:paraId="72FB8961">
      <w:pPr>
        <w:pStyle w:val="5"/>
        <w:spacing w:line="52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8.3 如双方同意协议到期正常终止，不影响合作期内双方正常的收益分红核算。乙方在合作项目运营期间所有项目收益，均应按照本协议所约定内容及时与甲方进行核对及结算。</w:t>
      </w:r>
    </w:p>
    <w:p w14:paraId="14BE5992">
      <w:pPr>
        <w:pStyle w:val="5"/>
        <w:spacing w:line="52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8.4 本协议终止、解除后，甲方应当给予乙方一个月的设备设施撤离腾退宽限期（高压、箱变设备的撤离不受一个月期限限制），宽限期内，乙方及时安排其在项目场地上的所有设备设施等附着物、添附物退场。</w:t>
      </w:r>
    </w:p>
    <w:p w14:paraId="58A3C11F">
      <w:pPr>
        <w:pStyle w:val="5"/>
        <w:spacing w:line="520" w:lineRule="exact"/>
        <w:ind w:firstLine="482" w:firstLineChars="200"/>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九、违约责任</w:t>
      </w:r>
    </w:p>
    <w:p w14:paraId="12D376A7">
      <w:pPr>
        <w:pStyle w:val="5"/>
        <w:spacing w:line="52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9.1 甲乙双方均应严格遵守本协议下各自权利义务，任何一方因不履行或不完全履行本协议约定，都应当承担相应的违约责任。</w:t>
      </w:r>
    </w:p>
    <w:p w14:paraId="41CCB92E">
      <w:pPr>
        <w:pStyle w:val="5"/>
        <w:spacing w:line="52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9.2 乙方迟延向甲方支付合作项目收益分成的，每迟延一日按应付未付季度收益分成金额的万分之一向甲方支付逾期付款违约金。若乙方延迟支付收益分成是因甲方未按约定开具发票导致，则不视为乙方违约，乙方不需要承担任何违约责任。</w:t>
      </w:r>
    </w:p>
    <w:p w14:paraId="405C1D53">
      <w:pPr>
        <w:pStyle w:val="5"/>
        <w:spacing w:line="52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9.3 因甲方未能提供本协议项下合作场地的合法合规的产权资料、平面图等手续资料，导致乙方无法</w:t>
      </w:r>
      <w:r>
        <w:rPr>
          <w:rFonts w:hint="eastAsia" w:ascii="宋体" w:hAnsi="宋体" w:eastAsia="宋体" w:cs="宋体"/>
          <w:color w:val="auto"/>
          <w:spacing w:val="-2"/>
          <w:sz w:val="24"/>
          <w:szCs w:val="24"/>
          <w:lang w:eastAsia="zh-CN"/>
        </w:rPr>
        <w:t>办理充电站建设开工前及营运前各项报批手续的，乙方有权单方解除本协议。</w:t>
      </w:r>
      <w:r>
        <w:rPr>
          <w:rFonts w:hint="eastAsia" w:ascii="宋体" w:hAnsi="宋体" w:eastAsia="宋体" w:cs="宋体"/>
          <w:sz w:val="24"/>
          <w:szCs w:val="24"/>
          <w:lang w:eastAsia="zh-CN"/>
        </w:rPr>
        <w:t xml:space="preserve"> </w:t>
      </w:r>
    </w:p>
    <w:p w14:paraId="00CD7B4B">
      <w:pPr>
        <w:pStyle w:val="5"/>
        <w:spacing w:line="520" w:lineRule="exact"/>
        <w:ind w:firstLine="482" w:firstLineChars="200"/>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十、知识产权和保密条款</w:t>
      </w:r>
    </w:p>
    <w:p w14:paraId="670394E9">
      <w:pPr>
        <w:pStyle w:val="5"/>
        <w:spacing w:line="52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10.1 本协议中任何条款都不能被解释为一方对另一方以明示或默示地方式授予另一方许可使用其知识产权的行为。双方均承诺将尊重并保护对方所享有的知识产权，双方亦不得在依据本协议内容而签署的其他关联性合作协议所约定的许可范围之外使用对方知识产权，包括但不限于对方的任何商号、服务商标、品牌和商标等。</w:t>
      </w:r>
    </w:p>
    <w:p w14:paraId="74C68FA2">
      <w:pPr>
        <w:pStyle w:val="5"/>
        <w:spacing w:line="52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10.2 任一方合作期间内所获得的另一方的涉及约定的企业商业秘密信息，均不得以任何形式泄露。前述保密信息，如因法律法规、国家政策、行业规章等强制要求而必须披露、发布的，如证券交易所公告等，则需提前书面通知对方并与对方共同商讨并选择发布内容、发布方式，双方均应当协助被披露一方减少其因该等保密信息被披露而造成的不利影响。</w:t>
      </w:r>
    </w:p>
    <w:p w14:paraId="3C8608B2">
      <w:pPr>
        <w:pStyle w:val="5"/>
        <w:spacing w:line="52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10.3 披露方向接收方提供的任何信息或资料均系“按现状”提供，披露方并不就所提供信息作任何保证，接收方对此理解并同意。披露方不对接收方因使用或不能使用上述相关信息或资料所产生的任何损失负责。</w:t>
      </w:r>
    </w:p>
    <w:p w14:paraId="0AAE678C">
      <w:pPr>
        <w:pStyle w:val="5"/>
        <w:spacing w:line="52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10.4 本协议任意一方均不得单独利用本协议对外进行商业宣传。当一方需要公开本协议的签署、本协议的内容或与本协议合作项目相关的进展时，应由双方事先进行协商，再由双方统一时间以及宣传口径后进行宣传。任意一方未经另一方同意单独使用本协议进行宣传的，该方有权主张解除本协议，若因宣传本协议不当而给对方造成损失的，还应当对方由此所造成的全部损失。</w:t>
      </w:r>
    </w:p>
    <w:p w14:paraId="0EC1908D">
      <w:pPr>
        <w:pStyle w:val="5"/>
        <w:spacing w:line="520" w:lineRule="exact"/>
        <w:ind w:firstLine="482" w:firstLineChars="200"/>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十一、其它</w:t>
      </w:r>
    </w:p>
    <w:p w14:paraId="41D5CF0B">
      <w:pPr>
        <w:pStyle w:val="5"/>
        <w:spacing w:line="52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11.1 双方之间的任何通知或书面函件必须以中文形式书写，再以传真、快递或电子邮件的形式发出。以传真方式发送的，发出传真当日为送达日；以快递形式发送的，快递回单记载签收之日视为送达；以电子邮件发送的，以系统显示电子邮件成功发送时视为送达。确有证据证明受送达人出于非因其所导致的客观原因而未实际接收到相关通知文件或申请的除外。除非一方已事先书面通知另一方对联系方式进行更改的，否则所有与本项目相关的书面通知和函件均应按本合同所列明的联系方式向对方发送。</w:t>
      </w:r>
    </w:p>
    <w:p w14:paraId="3475489E">
      <w:pPr>
        <w:pStyle w:val="5"/>
        <w:spacing w:line="52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11.2 一方变更通讯地址或其他联系方式，应在变更之日前15日内，将变更后的地址或联系方式书面通知其他方，否则由变更方对逾期通知所造成的后果承担责任。</w:t>
      </w:r>
    </w:p>
    <w:p w14:paraId="729FDED3">
      <w:pPr>
        <w:pStyle w:val="5"/>
        <w:spacing w:line="52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11.3 双方因本协议项下内容所发生纠纷，一方为维护自身合法权益而对另一方提起相关民事诉讼或仲裁等争议解决事项的，守约方由此所产生的全部维权费用均由违约方承担，包括但不限于律师费、诉讼费、财产保全费、财产保全保险费、公证费、鉴定费、差旅费等。</w:t>
      </w:r>
    </w:p>
    <w:p w14:paraId="066AD3DE">
      <w:pPr>
        <w:pStyle w:val="5"/>
        <w:spacing w:line="52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11.4 本协议双方均为能够独立承担法律责任的主体。任何一方均不为另一方的任何违法违规行为承担法律责任，除非有直接证据证明该违法违规行为系由双方共同实施或由一方授意另一方而实施。</w:t>
      </w:r>
    </w:p>
    <w:p w14:paraId="3D9CB32F">
      <w:pPr>
        <w:pStyle w:val="5"/>
        <w:spacing w:line="52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11.5 本协议存续期间，任何一方若发生分立、重组或合并等重大变动，均不影响协议的继续履行，由合并后存续的公司或者新设的公司继续履约。</w:t>
      </w:r>
    </w:p>
    <w:p w14:paraId="353BD9E9">
      <w:pPr>
        <w:pStyle w:val="5"/>
        <w:spacing w:line="52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11.6 本协议履行期间如有争议，双方应通过协商解决，如果协商不成，提交甲乙双方任意一方所在地有管辖权的人民法院诉讼解决。</w:t>
      </w:r>
    </w:p>
    <w:p w14:paraId="1FE7C319">
      <w:pPr>
        <w:pStyle w:val="5"/>
        <w:spacing w:line="52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11.7 本协议壹式肆份，每方各执贰份，均具有同等法律效力，本协议自双方法定代表人或授权代理人签字并盖章（公章或合同专用章）后生效。</w:t>
      </w:r>
    </w:p>
    <w:p w14:paraId="4A77A438">
      <w:pPr>
        <w:pStyle w:val="5"/>
        <w:spacing w:line="52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11.8 本协议未尽事宜，双方应友好协商解决并签订书面补充协议。签字盖章的补充协议是本协议的一部分，与本协议具有同等法律效力。补充协议与本协议存在冲突的，以补充协议约定内容为准。</w:t>
      </w:r>
    </w:p>
    <w:p w14:paraId="19F19EED">
      <w:pPr>
        <w:pStyle w:val="5"/>
        <w:spacing w:line="520" w:lineRule="exact"/>
        <w:ind w:firstLine="482" w:firstLineChars="200"/>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十二、附件：</w:t>
      </w:r>
    </w:p>
    <w:p w14:paraId="45804060">
      <w:pPr>
        <w:pStyle w:val="5"/>
        <w:spacing w:line="52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附件一：停车场平面图</w:t>
      </w:r>
    </w:p>
    <w:p w14:paraId="152D7B12">
      <w:pPr>
        <w:pStyle w:val="5"/>
        <w:spacing w:line="52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附件二：停车场权属相关证明复印件</w:t>
      </w:r>
    </w:p>
    <w:p w14:paraId="759E8462">
      <w:pPr>
        <w:pStyle w:val="5"/>
        <w:spacing w:line="52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（以下无正文）</w:t>
      </w:r>
    </w:p>
    <w:p w14:paraId="77007416">
      <w:pPr>
        <w:spacing w:line="520" w:lineRule="exact"/>
        <w:rPr>
          <w:rFonts w:hint="eastAsia" w:ascii="宋体" w:hAnsi="宋体" w:eastAsia="宋体" w:cs="宋体"/>
          <w:sz w:val="24"/>
          <w:szCs w:val="24"/>
        </w:rPr>
      </w:pPr>
    </w:p>
    <w:p w14:paraId="10D59EE1">
      <w:pPr>
        <w:spacing w:line="520" w:lineRule="exact"/>
        <w:rPr>
          <w:rFonts w:hint="eastAsia" w:ascii="宋体" w:hAnsi="宋体" w:eastAsia="宋体" w:cs="宋体"/>
          <w:sz w:val="24"/>
          <w:szCs w:val="24"/>
        </w:rPr>
      </w:pPr>
    </w:p>
    <w:p w14:paraId="69BB701A">
      <w:pPr>
        <w:rPr>
          <w:rFonts w:hint="eastAsia" w:ascii="宋体" w:hAnsi="宋体" w:eastAsia="宋体" w:cs="宋体"/>
          <w:sz w:val="24"/>
          <w:szCs w:val="24"/>
        </w:rPr>
      </w:pPr>
      <w:r>
        <w:rPr>
          <w:rFonts w:hint="eastAsia" w:ascii="宋体" w:hAnsi="宋体" w:eastAsia="宋体" w:cs="宋体"/>
          <w:sz w:val="24"/>
          <w:szCs w:val="24"/>
        </w:rPr>
        <w:t xml:space="preserve">甲方（盖章）：                             乙方（盖章）：    </w:t>
      </w:r>
    </w:p>
    <w:p w14:paraId="3D32B1AE">
      <w:pPr>
        <w:rPr>
          <w:rFonts w:hint="eastAsia" w:ascii="宋体" w:hAnsi="宋体" w:eastAsia="宋体" w:cs="宋体"/>
          <w:sz w:val="24"/>
          <w:szCs w:val="24"/>
        </w:rPr>
      </w:pPr>
    </w:p>
    <w:p w14:paraId="26C7E1B8">
      <w:pPr>
        <w:rPr>
          <w:rFonts w:hint="eastAsia" w:ascii="宋体" w:hAnsi="宋体" w:eastAsia="宋体" w:cs="宋体"/>
          <w:sz w:val="24"/>
          <w:szCs w:val="24"/>
        </w:rPr>
      </w:pPr>
      <w:r>
        <w:rPr>
          <w:rFonts w:hint="eastAsia" w:ascii="宋体" w:hAnsi="宋体" w:eastAsia="宋体" w:cs="宋体"/>
          <w:sz w:val="24"/>
          <w:szCs w:val="24"/>
        </w:rPr>
        <w:t xml:space="preserve">                                                                 </w:t>
      </w:r>
    </w:p>
    <w:p w14:paraId="1D66B9B3">
      <w:pPr>
        <w:spacing w:line="520" w:lineRule="exact"/>
        <w:rPr>
          <w:rFonts w:hint="eastAsia" w:ascii="宋体" w:hAnsi="宋体" w:eastAsia="宋体" w:cs="宋体"/>
          <w:sz w:val="24"/>
          <w:szCs w:val="24"/>
        </w:rPr>
      </w:pPr>
      <w:r>
        <w:rPr>
          <w:rFonts w:hint="eastAsia" w:ascii="宋体" w:hAnsi="宋体" w:eastAsia="宋体" w:cs="宋体"/>
          <w:sz w:val="24"/>
          <w:szCs w:val="24"/>
        </w:rPr>
        <w:t xml:space="preserve">法定代表人/授权代理人：                    法定代表人/授权代理人：                         </w:t>
      </w:r>
      <w:r>
        <w:rPr>
          <w:rFonts w:hint="eastAsia" w:ascii="宋体" w:hAnsi="宋体" w:eastAsia="宋体" w:cs="宋体"/>
          <w:sz w:val="24"/>
          <w:szCs w:val="24"/>
        </w:rPr>
        <w:br w:type="textWrapping"/>
      </w:r>
      <w:r>
        <w:rPr>
          <w:rFonts w:hint="eastAsia" w:ascii="宋体" w:hAnsi="宋体" w:eastAsia="宋体" w:cs="宋体"/>
          <w:sz w:val="24"/>
          <w:szCs w:val="24"/>
        </w:rPr>
        <w:t xml:space="preserve">                             </w:t>
      </w:r>
    </w:p>
    <w:p w14:paraId="0347D305">
      <w:pPr>
        <w:spacing w:line="520" w:lineRule="exact"/>
        <w:rPr>
          <w:rFonts w:hint="eastAsia" w:ascii="宋体" w:hAnsi="宋体" w:eastAsia="宋体" w:cs="宋体"/>
          <w:sz w:val="24"/>
          <w:szCs w:val="24"/>
        </w:rPr>
      </w:pPr>
    </w:p>
    <w:p w14:paraId="120D1054">
      <w:pPr>
        <w:spacing w:line="520" w:lineRule="exact"/>
        <w:rPr>
          <w:rFonts w:hint="eastAsia" w:ascii="宋体" w:hAnsi="宋体" w:eastAsia="宋体" w:cs="宋体"/>
          <w:sz w:val="24"/>
          <w:szCs w:val="24"/>
        </w:rPr>
      </w:pPr>
    </w:p>
    <w:p w14:paraId="43036CD3">
      <w:pPr>
        <w:spacing w:line="520" w:lineRule="exact"/>
        <w:rPr>
          <w:rFonts w:hint="eastAsia" w:ascii="宋体" w:hAnsi="宋体" w:eastAsia="宋体" w:cs="宋体"/>
          <w:sz w:val="24"/>
          <w:szCs w:val="24"/>
        </w:rPr>
      </w:pPr>
    </w:p>
    <w:p w14:paraId="212AB5B9">
      <w:pPr>
        <w:spacing w:line="520" w:lineRule="exact"/>
        <w:rPr>
          <w:rFonts w:hint="eastAsia" w:ascii="宋体" w:hAnsi="宋体" w:eastAsia="宋体" w:cs="宋体"/>
          <w:sz w:val="24"/>
          <w:szCs w:val="24"/>
        </w:rPr>
      </w:pPr>
    </w:p>
    <w:p w14:paraId="6FE65679">
      <w:pPr>
        <w:spacing w:line="520" w:lineRule="exact"/>
        <w:rPr>
          <w:rFonts w:hint="eastAsia" w:ascii="宋体" w:hAnsi="宋体" w:eastAsia="宋体" w:cs="宋体"/>
          <w:sz w:val="24"/>
          <w:szCs w:val="24"/>
        </w:rPr>
      </w:pPr>
    </w:p>
    <w:p w14:paraId="422D1320">
      <w:pPr>
        <w:spacing w:line="520" w:lineRule="exact"/>
        <w:rPr>
          <w:rFonts w:hint="eastAsia" w:ascii="宋体" w:hAnsi="宋体" w:eastAsia="宋体" w:cs="宋体"/>
          <w:sz w:val="24"/>
          <w:szCs w:val="24"/>
        </w:rPr>
      </w:pPr>
    </w:p>
    <w:p w14:paraId="0065D2C0">
      <w:pPr>
        <w:spacing w:line="520" w:lineRule="exact"/>
        <w:rPr>
          <w:rFonts w:hint="eastAsia" w:ascii="宋体" w:hAnsi="宋体" w:eastAsia="宋体" w:cs="宋体"/>
          <w:sz w:val="24"/>
          <w:szCs w:val="24"/>
        </w:rPr>
      </w:pPr>
    </w:p>
    <w:p w14:paraId="232757B4">
      <w:pPr>
        <w:spacing w:line="520" w:lineRule="exact"/>
        <w:rPr>
          <w:rFonts w:hint="eastAsia" w:ascii="宋体" w:hAnsi="宋体" w:eastAsia="宋体" w:cs="宋体"/>
          <w:sz w:val="24"/>
          <w:szCs w:val="24"/>
        </w:rPr>
      </w:pPr>
    </w:p>
    <w:p w14:paraId="25CDF996">
      <w:pPr>
        <w:spacing w:line="520" w:lineRule="exact"/>
        <w:rPr>
          <w:rFonts w:hint="eastAsia" w:ascii="宋体" w:hAnsi="宋体" w:eastAsia="宋体" w:cs="宋体"/>
          <w:sz w:val="24"/>
          <w:szCs w:val="24"/>
        </w:rPr>
      </w:pPr>
    </w:p>
    <w:p w14:paraId="682C2676">
      <w:pPr>
        <w:spacing w:line="520" w:lineRule="exact"/>
        <w:rPr>
          <w:rFonts w:hint="eastAsia" w:ascii="宋体" w:hAnsi="宋体" w:eastAsia="宋体" w:cs="宋体"/>
          <w:sz w:val="24"/>
          <w:szCs w:val="24"/>
        </w:rPr>
      </w:pPr>
    </w:p>
    <w:p w14:paraId="2C7B2C9C">
      <w:pPr>
        <w:spacing w:line="520" w:lineRule="exact"/>
        <w:rPr>
          <w:rFonts w:hint="eastAsia" w:ascii="宋体" w:hAnsi="宋体" w:eastAsia="宋体" w:cs="宋体"/>
          <w:sz w:val="24"/>
          <w:szCs w:val="24"/>
        </w:rPr>
      </w:pPr>
    </w:p>
    <w:p w14:paraId="75AED064">
      <w:pPr>
        <w:spacing w:line="520" w:lineRule="exact"/>
        <w:rPr>
          <w:rFonts w:hint="eastAsia" w:ascii="宋体" w:hAnsi="宋体" w:eastAsia="宋体" w:cs="宋体"/>
          <w:sz w:val="24"/>
          <w:szCs w:val="24"/>
        </w:rPr>
      </w:pPr>
    </w:p>
    <w:p w14:paraId="3FA4FF94">
      <w:pPr>
        <w:spacing w:line="520" w:lineRule="exact"/>
        <w:rPr>
          <w:rFonts w:hint="eastAsia" w:ascii="宋体" w:hAnsi="宋体" w:eastAsia="宋体" w:cs="宋体"/>
          <w:sz w:val="24"/>
          <w:szCs w:val="24"/>
        </w:rPr>
      </w:pPr>
    </w:p>
    <w:p w14:paraId="150A2B94">
      <w:pPr>
        <w:spacing w:line="520" w:lineRule="exact"/>
        <w:rPr>
          <w:rFonts w:hint="eastAsia" w:ascii="宋体" w:hAnsi="宋体" w:eastAsia="宋体" w:cs="宋体"/>
          <w:sz w:val="24"/>
          <w:szCs w:val="24"/>
        </w:rPr>
      </w:pPr>
    </w:p>
    <w:p w14:paraId="7E1456DB">
      <w:pPr>
        <w:spacing w:line="520" w:lineRule="exact"/>
        <w:rPr>
          <w:rFonts w:hint="eastAsia" w:ascii="宋体" w:hAnsi="宋体" w:eastAsia="宋体" w:cs="宋体"/>
          <w:sz w:val="24"/>
          <w:szCs w:val="24"/>
        </w:rPr>
      </w:pPr>
    </w:p>
    <w:p w14:paraId="5268DE91">
      <w:pPr>
        <w:spacing w:line="520" w:lineRule="exact"/>
        <w:rPr>
          <w:rFonts w:hint="eastAsia" w:ascii="宋体" w:hAnsi="宋体" w:eastAsia="宋体" w:cs="宋体"/>
          <w:sz w:val="24"/>
          <w:szCs w:val="24"/>
        </w:rPr>
      </w:pPr>
    </w:p>
    <w:p w14:paraId="5771FB4F">
      <w:pPr>
        <w:spacing w:line="520" w:lineRule="exact"/>
        <w:rPr>
          <w:rFonts w:hint="eastAsia" w:ascii="宋体" w:hAnsi="宋体" w:eastAsia="宋体" w:cs="宋体"/>
          <w:sz w:val="24"/>
          <w:szCs w:val="24"/>
        </w:rPr>
      </w:pPr>
    </w:p>
    <w:p w14:paraId="0EEE4543">
      <w:pPr>
        <w:spacing w:line="520" w:lineRule="exact"/>
        <w:rPr>
          <w:rFonts w:hint="eastAsia" w:ascii="宋体" w:hAnsi="宋体" w:eastAsia="宋体" w:cs="宋体"/>
          <w:sz w:val="24"/>
          <w:szCs w:val="24"/>
        </w:rPr>
      </w:pPr>
      <w:r>
        <w:rPr>
          <w:rFonts w:hint="eastAsia" w:ascii="宋体" w:hAnsi="宋体" w:eastAsia="宋体" w:cs="宋体"/>
          <w:sz w:val="24"/>
          <w:szCs w:val="24"/>
        </w:rPr>
        <w:drawing>
          <wp:anchor distT="0" distB="0" distL="114300" distR="114300" simplePos="0" relativeHeight="251659264" behindDoc="0" locked="0" layoutInCell="1" allowOverlap="1">
            <wp:simplePos x="0" y="0"/>
            <wp:positionH relativeFrom="column">
              <wp:posOffset>-137795</wp:posOffset>
            </wp:positionH>
            <wp:positionV relativeFrom="paragraph">
              <wp:posOffset>677545</wp:posOffset>
            </wp:positionV>
            <wp:extent cx="5754370" cy="7558405"/>
            <wp:effectExtent l="0" t="0" r="11430" b="10795"/>
            <wp:wrapTopAndBottom/>
            <wp:docPr id="2" name="图片 2" descr="37a9b2c725cc3e5476b6d7208fe6da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37a9b2c725cc3e5476b6d7208fe6da5"/>
                    <pic:cNvPicPr>
                      <a:picLocks noChangeAspect="1"/>
                    </pic:cNvPicPr>
                  </pic:nvPicPr>
                  <pic:blipFill>
                    <a:blip r:embed="rId5"/>
                    <a:stretch>
                      <a:fillRect/>
                    </a:stretch>
                  </pic:blipFill>
                  <pic:spPr>
                    <a:xfrm>
                      <a:off x="0" y="0"/>
                      <a:ext cx="5754370" cy="7558405"/>
                    </a:xfrm>
                    <a:prstGeom prst="rect">
                      <a:avLst/>
                    </a:prstGeom>
                  </pic:spPr>
                </pic:pic>
              </a:graphicData>
            </a:graphic>
          </wp:anchor>
        </w:drawing>
      </w:r>
      <w:r>
        <w:rPr>
          <w:rFonts w:hint="eastAsia" w:ascii="宋体" w:hAnsi="宋体" w:eastAsia="宋体" w:cs="宋体"/>
          <w:sz w:val="24"/>
          <w:szCs w:val="24"/>
        </w:rPr>
        <w:t>附件一：</w:t>
      </w:r>
    </w:p>
    <w:sectPr>
      <w:footerReference r:id="rId3" w:type="default"/>
      <w:pgSz w:w="11906" w:h="16838"/>
      <w:pgMar w:top="1134" w:right="1416"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9C4F4E">
    <w:pPr>
      <w:pStyle w:val="7"/>
      <w:jc w:val="center"/>
      <w:rPr>
        <w:rFonts w:hint="eastAsia"/>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3506D8">
                          <w:pPr>
                            <w:pStyle w:val="7"/>
                            <w:rPr>
                              <w:rFonts w:hint="eastAsia"/>
                            </w:rPr>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10</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2D3506D8">
                    <w:pPr>
                      <w:pStyle w:val="7"/>
                      <w:rPr>
                        <w:rFonts w:hint="eastAsia"/>
                      </w:rPr>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10</w:t>
                    </w:r>
                    <w:r>
                      <w:fldChar w:fldCharType="end"/>
                    </w:r>
                    <w:r>
                      <w:t xml:space="preserve"> 页</w:t>
                    </w:r>
                  </w:p>
                </w:txbxContent>
              </v:textbox>
            </v:shape>
          </w:pict>
        </mc:Fallback>
      </mc:AlternateContent>
    </w:r>
  </w:p>
  <w:p w14:paraId="4AB33A86">
    <w:pPr>
      <w:pStyle w:val="7"/>
      <w:rPr>
        <w:rFonts w:hint="eastAsia"/>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19F278B"/>
    <w:multiLevelType w:val="multilevel"/>
    <w:tmpl w:val="F19F278B"/>
    <w:lvl w:ilvl="0" w:tentative="0">
      <w:start w:val="1"/>
      <w:numFmt w:val="chineseCounting"/>
      <w:suff w:val="space"/>
      <w:lvlText w:val="第%1条"/>
      <w:lvlJc w:val="left"/>
      <w:pPr>
        <w:tabs>
          <w:tab w:val="left" w:pos="0"/>
        </w:tabs>
        <w:ind w:left="0" w:firstLine="0"/>
      </w:pPr>
      <w:rPr>
        <w:rFonts w:hint="eastAsia" w:ascii="仿宋" w:hAnsi="仿宋" w:eastAsia="仿宋" w:cs="仿宋"/>
        <w:b/>
        <w:sz w:val="28"/>
        <w:szCs w:val="24"/>
      </w:rPr>
    </w:lvl>
    <w:lvl w:ilvl="1" w:tentative="0">
      <w:start w:val="1"/>
      <w:numFmt w:val="decimal"/>
      <w:pStyle w:val="2"/>
      <w:isLgl/>
      <w:suff w:val="space"/>
      <w:lvlText w:val="%1.%2"/>
      <w:lvlJc w:val="left"/>
      <w:pPr>
        <w:tabs>
          <w:tab w:val="left" w:pos="420"/>
        </w:tabs>
        <w:ind w:left="420" w:hanging="420"/>
      </w:pPr>
      <w:rPr>
        <w:rFonts w:hint="eastAsia" w:ascii="仿宋" w:hAnsi="仿宋" w:eastAsia="仿宋" w:cs="仿宋"/>
        <w:b w:val="0"/>
        <w:sz w:val="24"/>
        <w:szCs w:val="24"/>
      </w:rPr>
    </w:lvl>
    <w:lvl w:ilvl="2" w:tentative="0">
      <w:start w:val="1"/>
      <w:numFmt w:val="decimal"/>
      <w:isLgl/>
      <w:suff w:val="space"/>
      <w:lvlText w:val="%1.%2.%3"/>
      <w:lvlJc w:val="left"/>
      <w:pPr>
        <w:tabs>
          <w:tab w:val="left" w:pos="420"/>
        </w:tabs>
        <w:ind w:left="420" w:hanging="420"/>
      </w:pPr>
      <w:rPr>
        <w:rFonts w:hint="eastAsia" w:ascii="仿宋" w:hAnsi="仿宋" w:eastAsia="仿宋" w:cs="仿宋"/>
        <w:sz w:val="24"/>
        <w:szCs w:val="24"/>
      </w:rPr>
    </w:lvl>
    <w:lvl w:ilvl="3" w:tentative="0">
      <w:start w:val="1"/>
      <w:numFmt w:val="decimal"/>
      <w:isLgl/>
      <w:lvlText w:val="%1.%2.%3.%4."/>
      <w:lvlJc w:val="left"/>
      <w:pPr>
        <w:ind w:left="864" w:hanging="864"/>
      </w:pPr>
      <w:rPr>
        <w:rFonts w:hint="eastAsia"/>
      </w:rPr>
    </w:lvl>
    <w:lvl w:ilvl="4" w:tentative="0">
      <w:start w:val="1"/>
      <w:numFmt w:val="decimal"/>
      <w:isLgl/>
      <w:lvlText w:val="%1.%2.%3.%4.%5."/>
      <w:lvlJc w:val="left"/>
      <w:pPr>
        <w:ind w:left="1008" w:hanging="1008"/>
      </w:pPr>
      <w:rPr>
        <w:rFonts w:hint="eastAsia"/>
      </w:rPr>
    </w:lvl>
    <w:lvl w:ilvl="5" w:tentative="0">
      <w:start w:val="1"/>
      <w:numFmt w:val="decimal"/>
      <w:isLgl/>
      <w:lvlText w:val="%1.%2.%3.%4.%5.%6."/>
      <w:lvlJc w:val="left"/>
      <w:pPr>
        <w:ind w:left="1151" w:hanging="1151"/>
      </w:pPr>
      <w:rPr>
        <w:rFonts w:hint="eastAsia"/>
      </w:rPr>
    </w:lvl>
    <w:lvl w:ilvl="6" w:tentative="0">
      <w:start w:val="1"/>
      <w:numFmt w:val="decimal"/>
      <w:isLgl/>
      <w:lvlText w:val="%1.%2.%3.%4.%5.%6.%7."/>
      <w:lvlJc w:val="left"/>
      <w:pPr>
        <w:ind w:left="1296" w:hanging="1296"/>
      </w:pPr>
      <w:rPr>
        <w:rFonts w:hint="eastAsia"/>
      </w:rPr>
    </w:lvl>
    <w:lvl w:ilvl="7" w:tentative="0">
      <w:start w:val="1"/>
      <w:numFmt w:val="decimal"/>
      <w:isLgl/>
      <w:lvlText w:val="%1.%2.%3.%4.%5.%6.%7.%8."/>
      <w:lvlJc w:val="left"/>
      <w:pPr>
        <w:ind w:left="1440" w:hanging="1440"/>
      </w:pPr>
      <w:rPr>
        <w:rFonts w:hint="eastAsia"/>
      </w:rPr>
    </w:lvl>
    <w:lvl w:ilvl="8" w:tentative="0">
      <w:start w:val="1"/>
      <w:numFmt w:val="decimal"/>
      <w:isLgl/>
      <w:lvlText w:val="%1.%2.%3.%4.%5.%6.%7.%8.%9."/>
      <w:lvlJc w:val="left"/>
      <w:pPr>
        <w:ind w:left="1583" w:hanging="1583"/>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RlOWM5NzIzY2RiNDQ5Mzk0NjhlNGIzNGNjOGE0OTEifQ=="/>
  </w:docVars>
  <w:rsids>
    <w:rsidRoot w:val="00D20FF9"/>
    <w:rsid w:val="000165DD"/>
    <w:rsid w:val="00044118"/>
    <w:rsid w:val="00075FB4"/>
    <w:rsid w:val="00076973"/>
    <w:rsid w:val="00097A08"/>
    <w:rsid w:val="000A7419"/>
    <w:rsid w:val="000B3A6D"/>
    <w:rsid w:val="000B49FD"/>
    <w:rsid w:val="000C1DDC"/>
    <w:rsid w:val="000E3644"/>
    <w:rsid w:val="000E4900"/>
    <w:rsid w:val="000F186C"/>
    <w:rsid w:val="001026A3"/>
    <w:rsid w:val="001069DD"/>
    <w:rsid w:val="00135B3C"/>
    <w:rsid w:val="001504E0"/>
    <w:rsid w:val="00153A1C"/>
    <w:rsid w:val="001867D1"/>
    <w:rsid w:val="001A7732"/>
    <w:rsid w:val="001A7C67"/>
    <w:rsid w:val="001F4D75"/>
    <w:rsid w:val="0024334C"/>
    <w:rsid w:val="00250D3A"/>
    <w:rsid w:val="00267767"/>
    <w:rsid w:val="00272FA6"/>
    <w:rsid w:val="00280A5C"/>
    <w:rsid w:val="00282C98"/>
    <w:rsid w:val="002E2320"/>
    <w:rsid w:val="002F1BA1"/>
    <w:rsid w:val="002F2A46"/>
    <w:rsid w:val="002F376E"/>
    <w:rsid w:val="00307406"/>
    <w:rsid w:val="00330FAD"/>
    <w:rsid w:val="00346228"/>
    <w:rsid w:val="0034708D"/>
    <w:rsid w:val="00354046"/>
    <w:rsid w:val="003828D3"/>
    <w:rsid w:val="00383B20"/>
    <w:rsid w:val="003A7A83"/>
    <w:rsid w:val="003B7642"/>
    <w:rsid w:val="003C5086"/>
    <w:rsid w:val="003D1EF3"/>
    <w:rsid w:val="004159AE"/>
    <w:rsid w:val="00423A48"/>
    <w:rsid w:val="0042617A"/>
    <w:rsid w:val="00433BA8"/>
    <w:rsid w:val="00436C16"/>
    <w:rsid w:val="0045160C"/>
    <w:rsid w:val="00487F1C"/>
    <w:rsid w:val="004A03D4"/>
    <w:rsid w:val="004A064D"/>
    <w:rsid w:val="004A079A"/>
    <w:rsid w:val="004B6417"/>
    <w:rsid w:val="00515FDC"/>
    <w:rsid w:val="00522DAB"/>
    <w:rsid w:val="00523FEA"/>
    <w:rsid w:val="00537AC9"/>
    <w:rsid w:val="00593538"/>
    <w:rsid w:val="005C5D8C"/>
    <w:rsid w:val="005E0EE9"/>
    <w:rsid w:val="005E466E"/>
    <w:rsid w:val="005E613C"/>
    <w:rsid w:val="005F7033"/>
    <w:rsid w:val="0062186D"/>
    <w:rsid w:val="006244C9"/>
    <w:rsid w:val="006346DC"/>
    <w:rsid w:val="006A1C41"/>
    <w:rsid w:val="006A4896"/>
    <w:rsid w:val="006B694A"/>
    <w:rsid w:val="006F5781"/>
    <w:rsid w:val="007120DE"/>
    <w:rsid w:val="007145CA"/>
    <w:rsid w:val="0072185D"/>
    <w:rsid w:val="00736211"/>
    <w:rsid w:val="00743495"/>
    <w:rsid w:val="00760557"/>
    <w:rsid w:val="00764B5F"/>
    <w:rsid w:val="00775513"/>
    <w:rsid w:val="007B00B5"/>
    <w:rsid w:val="007D55EA"/>
    <w:rsid w:val="007F7844"/>
    <w:rsid w:val="00813AE9"/>
    <w:rsid w:val="0082394F"/>
    <w:rsid w:val="00833C58"/>
    <w:rsid w:val="00846B67"/>
    <w:rsid w:val="00873F46"/>
    <w:rsid w:val="00881FAB"/>
    <w:rsid w:val="008E1D39"/>
    <w:rsid w:val="008F5D20"/>
    <w:rsid w:val="00905FC2"/>
    <w:rsid w:val="00911018"/>
    <w:rsid w:val="00921EA0"/>
    <w:rsid w:val="0093149A"/>
    <w:rsid w:val="009448EC"/>
    <w:rsid w:val="009939FD"/>
    <w:rsid w:val="009957B7"/>
    <w:rsid w:val="009D2E6E"/>
    <w:rsid w:val="009D5149"/>
    <w:rsid w:val="009D5A81"/>
    <w:rsid w:val="009D7775"/>
    <w:rsid w:val="00A040B0"/>
    <w:rsid w:val="00A34CDE"/>
    <w:rsid w:val="00A717A5"/>
    <w:rsid w:val="00A73344"/>
    <w:rsid w:val="00AC0E3B"/>
    <w:rsid w:val="00AC4479"/>
    <w:rsid w:val="00AF3A73"/>
    <w:rsid w:val="00B008D0"/>
    <w:rsid w:val="00B545F1"/>
    <w:rsid w:val="00B67848"/>
    <w:rsid w:val="00B80691"/>
    <w:rsid w:val="00BA57A8"/>
    <w:rsid w:val="00BA7841"/>
    <w:rsid w:val="00BB0F0F"/>
    <w:rsid w:val="00BD4A0F"/>
    <w:rsid w:val="00BD4F57"/>
    <w:rsid w:val="00BF6230"/>
    <w:rsid w:val="00C0314C"/>
    <w:rsid w:val="00C212CB"/>
    <w:rsid w:val="00C2150F"/>
    <w:rsid w:val="00C3335D"/>
    <w:rsid w:val="00C35CBD"/>
    <w:rsid w:val="00C371C6"/>
    <w:rsid w:val="00C45036"/>
    <w:rsid w:val="00C503AE"/>
    <w:rsid w:val="00C547EF"/>
    <w:rsid w:val="00C556A8"/>
    <w:rsid w:val="00C61133"/>
    <w:rsid w:val="00C62366"/>
    <w:rsid w:val="00C62BB4"/>
    <w:rsid w:val="00CA5479"/>
    <w:rsid w:val="00CD0C59"/>
    <w:rsid w:val="00CD309A"/>
    <w:rsid w:val="00CE4BA0"/>
    <w:rsid w:val="00CE6F28"/>
    <w:rsid w:val="00D03985"/>
    <w:rsid w:val="00D058D5"/>
    <w:rsid w:val="00D07BD5"/>
    <w:rsid w:val="00D20FF9"/>
    <w:rsid w:val="00D35C99"/>
    <w:rsid w:val="00D35EE3"/>
    <w:rsid w:val="00D4504F"/>
    <w:rsid w:val="00D64256"/>
    <w:rsid w:val="00D6619B"/>
    <w:rsid w:val="00D97380"/>
    <w:rsid w:val="00DB6CCC"/>
    <w:rsid w:val="00DB7B6C"/>
    <w:rsid w:val="00DC60A0"/>
    <w:rsid w:val="00DC6370"/>
    <w:rsid w:val="00DD0929"/>
    <w:rsid w:val="00DD7A7C"/>
    <w:rsid w:val="00DE7EFB"/>
    <w:rsid w:val="00E246E8"/>
    <w:rsid w:val="00E27DF2"/>
    <w:rsid w:val="00E31567"/>
    <w:rsid w:val="00E37E25"/>
    <w:rsid w:val="00E92C58"/>
    <w:rsid w:val="00EB0F32"/>
    <w:rsid w:val="00EB60B7"/>
    <w:rsid w:val="00ED4CA4"/>
    <w:rsid w:val="00EE2327"/>
    <w:rsid w:val="00F077C7"/>
    <w:rsid w:val="00F12324"/>
    <w:rsid w:val="00F16532"/>
    <w:rsid w:val="00F365D5"/>
    <w:rsid w:val="00F41E85"/>
    <w:rsid w:val="00F61DF9"/>
    <w:rsid w:val="00F8776B"/>
    <w:rsid w:val="00F93D97"/>
    <w:rsid w:val="00FC0FEA"/>
    <w:rsid w:val="00FC2875"/>
    <w:rsid w:val="00FD2497"/>
    <w:rsid w:val="016823C7"/>
    <w:rsid w:val="01822CE2"/>
    <w:rsid w:val="01EF572E"/>
    <w:rsid w:val="05500BDA"/>
    <w:rsid w:val="07D27310"/>
    <w:rsid w:val="08C64239"/>
    <w:rsid w:val="0B6B6B0E"/>
    <w:rsid w:val="0BF82F53"/>
    <w:rsid w:val="0BFE39DB"/>
    <w:rsid w:val="0C612D15"/>
    <w:rsid w:val="0D90173A"/>
    <w:rsid w:val="0E747E05"/>
    <w:rsid w:val="0F2C7FC2"/>
    <w:rsid w:val="0FCD4197"/>
    <w:rsid w:val="135F0ED4"/>
    <w:rsid w:val="13766A58"/>
    <w:rsid w:val="14A6719F"/>
    <w:rsid w:val="161351C8"/>
    <w:rsid w:val="179761F4"/>
    <w:rsid w:val="18D236F9"/>
    <w:rsid w:val="19761D66"/>
    <w:rsid w:val="1992046E"/>
    <w:rsid w:val="199C6480"/>
    <w:rsid w:val="1A670100"/>
    <w:rsid w:val="1A7948CC"/>
    <w:rsid w:val="1AAE1A2A"/>
    <w:rsid w:val="1D3249F5"/>
    <w:rsid w:val="1D6D79D2"/>
    <w:rsid w:val="1E3F5701"/>
    <w:rsid w:val="1EC84D9C"/>
    <w:rsid w:val="202F3335"/>
    <w:rsid w:val="208D2835"/>
    <w:rsid w:val="20C94FB1"/>
    <w:rsid w:val="215D1CF3"/>
    <w:rsid w:val="224C1310"/>
    <w:rsid w:val="228825B2"/>
    <w:rsid w:val="2368167B"/>
    <w:rsid w:val="24172B97"/>
    <w:rsid w:val="25B52667"/>
    <w:rsid w:val="26FD2A8D"/>
    <w:rsid w:val="293D6CCD"/>
    <w:rsid w:val="2A222295"/>
    <w:rsid w:val="2A3D2C2B"/>
    <w:rsid w:val="2D597D7C"/>
    <w:rsid w:val="2DA02DB6"/>
    <w:rsid w:val="2DE60322"/>
    <w:rsid w:val="2E9B6535"/>
    <w:rsid w:val="2FE05625"/>
    <w:rsid w:val="2FF05FB5"/>
    <w:rsid w:val="305E5243"/>
    <w:rsid w:val="31EC2F54"/>
    <w:rsid w:val="32FD2693"/>
    <w:rsid w:val="33A2543E"/>
    <w:rsid w:val="341E46C5"/>
    <w:rsid w:val="3574573B"/>
    <w:rsid w:val="385812DA"/>
    <w:rsid w:val="389B5BBB"/>
    <w:rsid w:val="38D66725"/>
    <w:rsid w:val="38E71F6F"/>
    <w:rsid w:val="3BE455FD"/>
    <w:rsid w:val="3C4E0CC8"/>
    <w:rsid w:val="3DE116C8"/>
    <w:rsid w:val="3E821F8C"/>
    <w:rsid w:val="3ED528D3"/>
    <w:rsid w:val="3EF05773"/>
    <w:rsid w:val="3F8E1B07"/>
    <w:rsid w:val="423170C2"/>
    <w:rsid w:val="42612CF3"/>
    <w:rsid w:val="429531AD"/>
    <w:rsid w:val="46BB2A61"/>
    <w:rsid w:val="472B40E0"/>
    <w:rsid w:val="47395DE1"/>
    <w:rsid w:val="484F591C"/>
    <w:rsid w:val="498875C7"/>
    <w:rsid w:val="49C84218"/>
    <w:rsid w:val="4BDB1B8E"/>
    <w:rsid w:val="4D8602C2"/>
    <w:rsid w:val="4DC7538B"/>
    <w:rsid w:val="4EDD2342"/>
    <w:rsid w:val="4EEA2AD2"/>
    <w:rsid w:val="4F111E0D"/>
    <w:rsid w:val="501C315F"/>
    <w:rsid w:val="53564BE5"/>
    <w:rsid w:val="53F73CC7"/>
    <w:rsid w:val="54150549"/>
    <w:rsid w:val="550D12B0"/>
    <w:rsid w:val="56723353"/>
    <w:rsid w:val="59024C35"/>
    <w:rsid w:val="5A276988"/>
    <w:rsid w:val="5B062168"/>
    <w:rsid w:val="5BE91DD6"/>
    <w:rsid w:val="5C702573"/>
    <w:rsid w:val="5C815B4D"/>
    <w:rsid w:val="604F09E7"/>
    <w:rsid w:val="61860919"/>
    <w:rsid w:val="62B92A90"/>
    <w:rsid w:val="6428657E"/>
    <w:rsid w:val="651776C1"/>
    <w:rsid w:val="656C2D0F"/>
    <w:rsid w:val="65C46207"/>
    <w:rsid w:val="673177C2"/>
    <w:rsid w:val="67EB4CFF"/>
    <w:rsid w:val="69CE04C4"/>
    <w:rsid w:val="6A283035"/>
    <w:rsid w:val="6B1614DD"/>
    <w:rsid w:val="6B456236"/>
    <w:rsid w:val="6C07661A"/>
    <w:rsid w:val="6C861C34"/>
    <w:rsid w:val="6D3672D5"/>
    <w:rsid w:val="6E6675B3"/>
    <w:rsid w:val="6E6A74D1"/>
    <w:rsid w:val="71E96AF9"/>
    <w:rsid w:val="733F4680"/>
    <w:rsid w:val="748F4BE6"/>
    <w:rsid w:val="75A55D47"/>
    <w:rsid w:val="76216B35"/>
    <w:rsid w:val="77C17FC5"/>
    <w:rsid w:val="77F47CDD"/>
    <w:rsid w:val="786C0120"/>
    <w:rsid w:val="79C124FE"/>
    <w:rsid w:val="7A440A39"/>
    <w:rsid w:val="7AC402DE"/>
    <w:rsid w:val="7CBE0F77"/>
    <w:rsid w:val="7D4A1895"/>
    <w:rsid w:val="7E0C7A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unhideWhenUsed/>
    <w:qFormat/>
    <w:uiPriority w:val="0"/>
    <w:pPr>
      <w:numPr>
        <w:ilvl w:val="1"/>
        <w:numId w:val="1"/>
      </w:numPr>
      <w:spacing w:line="400" w:lineRule="exact"/>
      <w:ind w:left="0" w:firstLine="643" w:firstLineChars="200"/>
      <w:jc w:val="left"/>
      <w:outlineLvl w:val="1"/>
    </w:pPr>
    <w:rPr>
      <w:rFonts w:ascii="仿宋" w:hAnsi="仿宋" w:eastAsia="仿宋" w:cs="仿宋"/>
      <w:sz w:val="24"/>
    </w:rPr>
  </w:style>
  <w:style w:type="paragraph" w:styleId="3">
    <w:name w:val="heading 3"/>
    <w:basedOn w:val="1"/>
    <w:next w:val="1"/>
    <w:qFormat/>
    <w:uiPriority w:val="0"/>
    <w:pPr>
      <w:keepNext/>
      <w:keepLines/>
      <w:spacing w:before="260" w:after="260" w:line="416" w:lineRule="auto"/>
      <w:jc w:val="center"/>
      <w:outlineLvl w:val="2"/>
    </w:pPr>
    <w:rPr>
      <w:rFonts w:eastAsia="仿宋_GB2312"/>
      <w:bCs/>
      <w:sz w:val="32"/>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semiHidden/>
    <w:unhideWhenUsed/>
    <w:qFormat/>
    <w:uiPriority w:val="99"/>
    <w:pPr>
      <w:jc w:val="left"/>
    </w:pPr>
  </w:style>
  <w:style w:type="paragraph" w:styleId="5">
    <w:name w:val="Body Text"/>
    <w:basedOn w:val="1"/>
    <w:link w:val="18"/>
    <w:semiHidden/>
    <w:qFormat/>
    <w:uiPriority w:val="0"/>
    <w:pPr>
      <w:widowControl/>
      <w:kinsoku w:val="0"/>
      <w:autoSpaceDE w:val="0"/>
      <w:autoSpaceDN w:val="0"/>
      <w:adjustRightInd w:val="0"/>
      <w:snapToGrid w:val="0"/>
      <w:jc w:val="left"/>
      <w:textAlignment w:val="baseline"/>
    </w:pPr>
    <w:rPr>
      <w:rFonts w:ascii="等线" w:hAnsi="等线" w:eastAsia="等线" w:cs="等线"/>
      <w:snapToGrid w:val="0"/>
      <w:color w:val="000000"/>
      <w:kern w:val="0"/>
      <w:szCs w:val="21"/>
      <w:lang w:eastAsia="en-US"/>
    </w:rPr>
  </w:style>
  <w:style w:type="paragraph" w:styleId="6">
    <w:name w:val="Body Text Indent"/>
    <w:basedOn w:val="1"/>
    <w:qFormat/>
    <w:uiPriority w:val="99"/>
    <w:pPr>
      <w:ind w:firstLine="480" w:firstLineChars="150"/>
    </w:pPr>
    <w:rPr>
      <w:rFonts w:ascii="仿宋_GB2312"/>
      <w:bCs/>
      <w:szCs w:val="32"/>
    </w:rPr>
  </w:style>
  <w:style w:type="paragraph" w:styleId="7">
    <w:name w:val="footer"/>
    <w:basedOn w:val="1"/>
    <w:link w:val="17"/>
    <w:unhideWhenUsed/>
    <w:qFormat/>
    <w:uiPriority w:val="99"/>
    <w:pPr>
      <w:tabs>
        <w:tab w:val="center" w:pos="4153"/>
        <w:tab w:val="right" w:pos="8306"/>
      </w:tabs>
      <w:snapToGrid w:val="0"/>
      <w:jc w:val="left"/>
    </w:pPr>
    <w:rPr>
      <w:sz w:val="18"/>
      <w:szCs w:val="18"/>
    </w:rPr>
  </w:style>
  <w:style w:type="paragraph" w:styleId="8">
    <w:name w:val="header"/>
    <w:basedOn w:val="1"/>
    <w:link w:val="16"/>
    <w:unhideWhenUsed/>
    <w:qFormat/>
    <w:uiPriority w:val="99"/>
    <w:pPr>
      <w:tabs>
        <w:tab w:val="center" w:pos="4153"/>
        <w:tab w:val="right" w:pos="8306"/>
      </w:tabs>
      <w:snapToGrid w:val="0"/>
      <w:jc w:val="center"/>
    </w:pPr>
    <w:rPr>
      <w:sz w:val="18"/>
      <w:szCs w:val="18"/>
    </w:rPr>
  </w:style>
  <w:style w:type="paragraph" w:styleId="9">
    <w:name w:val="Normal (Web)"/>
    <w:basedOn w:val="1"/>
    <w:semiHidden/>
    <w:unhideWhenUsed/>
    <w:qFormat/>
    <w:uiPriority w:val="99"/>
    <w:pPr>
      <w:spacing w:beforeAutospacing="1" w:afterAutospacing="1"/>
      <w:jc w:val="left"/>
    </w:pPr>
    <w:rPr>
      <w:rFonts w:cs="Times New Roman"/>
      <w:kern w:val="0"/>
      <w:sz w:val="24"/>
    </w:rPr>
  </w:style>
  <w:style w:type="paragraph" w:styleId="10">
    <w:name w:val="Body Text First Indent 2"/>
    <w:basedOn w:val="6"/>
    <w:qFormat/>
    <w:uiPriority w:val="99"/>
    <w:pPr>
      <w:ind w:firstLine="420" w:firstLineChars="200"/>
    </w:pPr>
    <w:rPr>
      <w:rFonts w:ascii="Times New Roman" w:eastAsia="宋体"/>
    </w:rPr>
  </w:style>
  <w:style w:type="table" w:styleId="12">
    <w:name w:val="Table Grid"/>
    <w:basedOn w:val="11"/>
    <w:qFormat/>
    <w:uiPriority w:val="59"/>
    <w:rPr>
      <w:rFonts w:asciiTheme="minorHAnsi" w:hAnsiTheme="minorHAnsi" w:eastAsiaTheme="minorEastAsia" w:cstheme="minorBidi"/>
      <w:kern w:val="2"/>
      <w:sz w:val="21"/>
      <w:szCs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4">
    <w:name w:val="Strong"/>
    <w:basedOn w:val="13"/>
    <w:qFormat/>
    <w:uiPriority w:val="0"/>
    <w:rPr>
      <w:b/>
    </w:rPr>
  </w:style>
  <w:style w:type="character" w:styleId="15">
    <w:name w:val="annotation reference"/>
    <w:basedOn w:val="13"/>
    <w:semiHidden/>
    <w:unhideWhenUsed/>
    <w:qFormat/>
    <w:uiPriority w:val="99"/>
    <w:rPr>
      <w:sz w:val="21"/>
      <w:szCs w:val="21"/>
    </w:rPr>
  </w:style>
  <w:style w:type="character" w:customStyle="1" w:styleId="16">
    <w:name w:val="页眉 字符"/>
    <w:basedOn w:val="13"/>
    <w:link w:val="8"/>
    <w:qFormat/>
    <w:uiPriority w:val="99"/>
    <w:rPr>
      <w:sz w:val="18"/>
      <w:szCs w:val="18"/>
    </w:rPr>
  </w:style>
  <w:style w:type="character" w:customStyle="1" w:styleId="17">
    <w:name w:val="页脚 字符"/>
    <w:basedOn w:val="13"/>
    <w:link w:val="7"/>
    <w:qFormat/>
    <w:uiPriority w:val="99"/>
    <w:rPr>
      <w:sz w:val="18"/>
      <w:szCs w:val="18"/>
    </w:rPr>
  </w:style>
  <w:style w:type="character" w:customStyle="1" w:styleId="18">
    <w:name w:val="正文文本 字符"/>
    <w:basedOn w:val="13"/>
    <w:link w:val="5"/>
    <w:semiHidden/>
    <w:qFormat/>
    <w:uiPriority w:val="0"/>
    <w:rPr>
      <w:rFonts w:ascii="等线" w:hAnsi="等线" w:eastAsia="等线" w:cs="等线"/>
      <w:snapToGrid w:val="0"/>
      <w:color w:val="000000"/>
      <w:kern w:val="0"/>
      <w:szCs w:val="21"/>
      <w:lang w:eastAsia="en-US"/>
    </w:rPr>
  </w:style>
  <w:style w:type="table" w:customStyle="1" w:styleId="19">
    <w:name w:val="Table Normal"/>
    <w:semiHidden/>
    <w:unhideWhenUsed/>
    <w:qFormat/>
    <w:uiPriority w:val="0"/>
    <w:tblPr>
      <w:tblCellMar>
        <w:top w:w="0" w:type="dxa"/>
        <w:left w:w="0" w:type="dxa"/>
        <w:bottom w:w="0" w:type="dxa"/>
        <w:right w:w="0" w:type="dxa"/>
      </w:tblCellMar>
    </w:tblPr>
  </w:style>
  <w:style w:type="paragraph" w:customStyle="1" w:styleId="20">
    <w:name w:val="Table Text"/>
    <w:basedOn w:val="1"/>
    <w:semiHidden/>
    <w:qFormat/>
    <w:uiPriority w:val="0"/>
    <w:pPr>
      <w:widowControl/>
      <w:kinsoku w:val="0"/>
      <w:autoSpaceDE w:val="0"/>
      <w:autoSpaceDN w:val="0"/>
      <w:adjustRightInd w:val="0"/>
      <w:snapToGrid w:val="0"/>
      <w:jc w:val="left"/>
      <w:textAlignment w:val="baseline"/>
    </w:pPr>
    <w:rPr>
      <w:rFonts w:ascii="微软雅黑" w:hAnsi="微软雅黑" w:eastAsia="微软雅黑" w:cs="微软雅黑"/>
      <w:snapToGrid w:val="0"/>
      <w:color w:val="000000"/>
      <w:kern w:val="0"/>
      <w:szCs w:val="21"/>
      <w:lang w:eastAsia="en-US"/>
    </w:rPr>
  </w:style>
  <w:style w:type="paragraph" w:styleId="21">
    <w:name w:val="List Paragraph"/>
    <w:basedOn w:val="1"/>
    <w:qFormat/>
    <w:uiPriority w:val="34"/>
    <w:pPr>
      <w:ind w:firstLine="420" w:firstLineChars="200"/>
    </w:pPr>
  </w:style>
  <w:style w:type="paragraph" w:customStyle="1" w:styleId="22">
    <w:name w:val="修订1"/>
    <w:hidden/>
    <w:unhideWhenUsed/>
    <w:qFormat/>
    <w:uiPriority w:val="99"/>
    <w:rPr>
      <w:rFonts w:asciiTheme="minorHAnsi" w:hAnsiTheme="minorHAnsi" w:eastAsiaTheme="minorEastAsia" w:cstheme="minorBidi"/>
      <w:kern w:val="2"/>
      <w:sz w:val="21"/>
      <w:szCs w:val="22"/>
      <w:lang w:val="en-US" w:eastAsia="zh-CN" w:bidi="ar-SA"/>
    </w:rPr>
  </w:style>
  <w:style w:type="character" w:customStyle="1" w:styleId="23">
    <w:name w:val="first-child"/>
    <w:basedOn w:val="13"/>
    <w:qFormat/>
    <w:uiPriority w:val="0"/>
  </w:style>
  <w:style w:type="character" w:customStyle="1" w:styleId="24">
    <w:name w:val="layui-layer-tabnow"/>
    <w:basedOn w:val="13"/>
    <w:qFormat/>
    <w:uiPriority w:val="0"/>
    <w:rPr>
      <w:bdr w:val="single" w:color="CCCCCC" w:sz="6" w:space="0"/>
      <w:shd w:val="clear" w:color="auto" w:fill="FFFFFF"/>
    </w:rPr>
  </w:style>
  <w:style w:type="paragraph" w:customStyle="1" w:styleId="25">
    <w:name w:val="修订2"/>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26">
    <w:name w:val="修订3"/>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27">
    <w:name w:val="Revision"/>
    <w:hidden/>
    <w:unhideWhenUsed/>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6405</Words>
  <Characters>6561</Characters>
  <Lines>52</Lines>
  <Paragraphs>14</Paragraphs>
  <TotalTime>68</TotalTime>
  <ScaleCrop>false</ScaleCrop>
  <LinksUpToDate>false</LinksUpToDate>
  <CharactersWithSpaces>7202</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2025-03-25T07:27:00Z</dcterms:created>
  <dc:creator>骥国 冯</dc:creator>
  <cp:lastModifiedBy>翔仔！</cp:lastModifiedBy>
  <cp:lastPrinted>2025-03-27T10:44:23Z</cp:lastPrinted>
  <dcterms:modified xsi:type="dcterms:W3CDTF">2025-03-27T10:44:30Z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D274CBE866664EE6A79EADC5568085F3_13</vt:lpwstr>
  </property>
  <property fmtid="{D5CDD505-2E9C-101B-9397-08002B2CF9AE}" pid="4" name="KSOTemplateDocerSaveRecord">
    <vt:lpwstr>eyJoZGlkIjoiYjAwNTZkYWM2Y2JlODRlNWQ1ZTM0ZGI2MjBmMzk4YmEiLCJ1c2VySWQiOiIzMDgyMzY4MjIifQ==</vt:lpwstr>
  </property>
</Properties>
</file>