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86B3">
      <w:pPr>
        <w:widowControl/>
        <w:spacing w:line="580" w:lineRule="exact"/>
        <w:jc w:val="center"/>
        <w:rPr>
          <w:rFonts w:ascii="宋体" w:hAnsi="宋体" w:cs="宋体"/>
          <w:b/>
          <w:kern w:val="0"/>
          <w:sz w:val="36"/>
          <w:szCs w:val="36"/>
        </w:rPr>
      </w:pPr>
      <w:r>
        <w:rPr>
          <w:rFonts w:hint="eastAsia" w:ascii="宋体" w:hAnsi="宋体" w:cs="宋体"/>
          <w:b/>
          <w:kern w:val="0"/>
          <w:sz w:val="36"/>
          <w:szCs w:val="36"/>
        </w:rPr>
        <w:t>房 屋 租 赁 合 同</w:t>
      </w:r>
    </w:p>
    <w:p w14:paraId="001933E3">
      <w:pPr>
        <w:widowControl/>
        <w:spacing w:line="580" w:lineRule="exact"/>
        <w:jc w:val="center"/>
        <w:rPr>
          <w:rFonts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（样稿）</w:t>
      </w:r>
    </w:p>
    <w:p w14:paraId="7D408583">
      <w:pPr>
        <w:widowControl/>
        <w:spacing w:line="520" w:lineRule="exact"/>
        <w:jc w:val="center"/>
        <w:rPr>
          <w:rFonts w:ascii="仿宋_GB2312" w:hAnsi="仿宋" w:eastAsia="仿宋_GB2312" w:cs="宋体"/>
          <w:b/>
          <w:kern w:val="0"/>
          <w:sz w:val="24"/>
        </w:rPr>
      </w:pPr>
      <w:r>
        <w:rPr>
          <w:rFonts w:hint="eastAsia" w:ascii="仿宋_GB2312" w:hAnsi="仿宋" w:eastAsia="仿宋_GB2312" w:cs="宋体"/>
          <w:b/>
          <w:kern w:val="0"/>
          <w:sz w:val="24"/>
        </w:rPr>
        <w:t xml:space="preserve">                                    合同编号</w:t>
      </w:r>
      <w:r>
        <w:rPr>
          <w:rFonts w:hint="eastAsia" w:ascii="仿宋_GB2312" w:hAnsi="仿宋" w:eastAsia="仿宋_GB2312" w:cs="宋体"/>
          <w:b/>
          <w:kern w:val="0"/>
          <w:sz w:val="24"/>
          <w:u w:val="single"/>
        </w:rPr>
        <w:t>JY-R-20250x-00X</w:t>
      </w:r>
    </w:p>
    <w:p w14:paraId="458A0381">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出租方（甲方）：</w:t>
      </w:r>
      <w:r>
        <w:rPr>
          <w:rFonts w:hint="eastAsia" w:ascii="仿宋_GB2312" w:hAnsi="仿宋" w:eastAsia="仿宋_GB2312" w:cs="宋体"/>
          <w:b/>
          <w:bCs/>
          <w:kern w:val="0"/>
          <w:sz w:val="24"/>
        </w:rPr>
        <w:tab/>
      </w:r>
      <w:r>
        <w:rPr>
          <w:rFonts w:hint="eastAsia" w:ascii="仿宋_GB2312" w:hAnsi="仿宋" w:eastAsia="仿宋_GB2312" w:cs="宋体"/>
          <w:b/>
          <w:bCs/>
          <w:kern w:val="0"/>
          <w:sz w:val="24"/>
          <w:u w:val="single"/>
        </w:rPr>
        <w:t>厦门市健益发展有限公司</w:t>
      </w:r>
    </w:p>
    <w:p w14:paraId="1120A77E">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w:t>
      </w:r>
      <w:r>
        <w:rPr>
          <w:rFonts w:hint="eastAsia" w:ascii="仿宋_GB2312" w:hAnsi="仿宋" w:eastAsia="仿宋_GB2312" w:cs="宋体"/>
          <w:b/>
          <w:bCs/>
          <w:kern w:val="0"/>
          <w:sz w:val="24"/>
          <w:u w:val="single"/>
        </w:rPr>
        <w:t>913502127054947685</w:t>
      </w:r>
    </w:p>
    <w:p w14:paraId="64A6DC7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厦门市同安区银湖路体育中心体育馆2号</w:t>
      </w:r>
    </w:p>
    <w:p w14:paraId="7DFE21E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0592-7029678</w:t>
      </w:r>
    </w:p>
    <w:p w14:paraId="2137BBCB">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56D037E5">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 xml:space="preserve">承租方（乙方） </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r>
        <w:rPr>
          <w:rFonts w:hint="eastAsia" w:ascii="仿宋" w:hAnsi="仿宋" w:eastAsia="仿宋" w:cs="宋体"/>
          <w:kern w:val="0"/>
          <w:sz w:val="24"/>
          <w:u w:val="single"/>
        </w:rPr>
        <w:t xml:space="preserve">     </w:t>
      </w:r>
      <w:r>
        <w:rPr>
          <w:rFonts w:hint="eastAsia" w:ascii="仿宋_GB2312" w:hAnsi="仿宋" w:eastAsia="仿宋_GB2312" w:cs="宋体"/>
          <w:kern w:val="0"/>
          <w:sz w:val="24"/>
          <w:u w:val="single"/>
        </w:rPr>
        <w:t xml:space="preserve">             </w:t>
      </w:r>
    </w:p>
    <w:p w14:paraId="1E31A2B0">
      <w:pPr>
        <w:widowControl/>
        <w:spacing w:line="520" w:lineRule="exact"/>
        <w:ind w:left="-540" w:leftChars="-257" w:right="-512" w:rightChars="-244" w:firstLine="434" w:firstLineChars="180"/>
        <w:jc w:val="left"/>
        <w:rPr>
          <w:rFonts w:ascii="仿宋_GB2312" w:hAnsi="仿宋" w:eastAsia="仿宋_GB2312" w:cs="宋体"/>
          <w:kern w:val="0"/>
          <w:sz w:val="24"/>
          <w:u w:val="single"/>
        </w:rPr>
      </w:pPr>
      <w:r>
        <w:rPr>
          <w:rFonts w:hint="eastAsia" w:ascii="仿宋_GB2312" w:hAnsi="仿宋" w:eastAsia="仿宋_GB2312" w:cs="宋体"/>
          <w:b/>
          <w:bCs/>
          <w:kern w:val="0"/>
          <w:sz w:val="24"/>
        </w:rPr>
        <w:t>统一社会信用代码（公民身份证号）</w:t>
      </w:r>
      <w:r>
        <w:rPr>
          <w:rFonts w:hint="eastAsia" w:ascii="仿宋_GB2312" w:hAnsi="仿宋" w:eastAsia="仿宋_GB2312" w:cs="宋体"/>
          <w:kern w:val="0"/>
          <w:sz w:val="24"/>
        </w:rPr>
        <w:t>：</w:t>
      </w:r>
      <w:r>
        <w:rPr>
          <w:rFonts w:hint="eastAsia" w:ascii="仿宋_GB2312" w:hAnsi="仿宋" w:eastAsia="仿宋_GB2312" w:cs="宋体"/>
          <w:kern w:val="0"/>
          <w:sz w:val="24"/>
          <w:u w:val="single"/>
        </w:rPr>
        <w:t xml:space="preserve">                             </w:t>
      </w:r>
    </w:p>
    <w:p w14:paraId="0FA7AE85">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住址：</w:t>
      </w:r>
      <w:r>
        <w:rPr>
          <w:rFonts w:hint="eastAsia" w:ascii="仿宋_GB2312" w:hAnsi="仿宋" w:eastAsia="仿宋_GB2312" w:cs="宋体"/>
          <w:b/>
          <w:bCs/>
          <w:kern w:val="0"/>
          <w:sz w:val="24"/>
          <w:u w:val="single"/>
        </w:rPr>
        <w:t xml:space="preserve">                                       </w:t>
      </w:r>
    </w:p>
    <w:p w14:paraId="3D1FBE33">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联系人：</w:t>
      </w:r>
      <w:r>
        <w:rPr>
          <w:rFonts w:hint="eastAsia" w:ascii="仿宋_GB2312" w:hAnsi="仿宋" w:eastAsia="仿宋_GB2312" w:cs="宋体"/>
          <w:b/>
          <w:bCs/>
          <w:kern w:val="0"/>
          <w:sz w:val="24"/>
          <w:u w:val="single"/>
        </w:rPr>
        <w:t xml:space="preserve">                      </w:t>
      </w:r>
    </w:p>
    <w:p w14:paraId="6F06CF82">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联系电话：</w:t>
      </w:r>
      <w:r>
        <w:rPr>
          <w:rFonts w:hint="eastAsia" w:ascii="仿宋_GB2312" w:hAnsi="仿宋" w:eastAsia="仿宋_GB2312" w:cs="宋体"/>
          <w:b/>
          <w:bCs/>
          <w:kern w:val="0"/>
          <w:sz w:val="24"/>
          <w:u w:val="single"/>
        </w:rPr>
        <w:t xml:space="preserve">                    </w:t>
      </w:r>
    </w:p>
    <w:p w14:paraId="7E114348">
      <w:pPr>
        <w:widowControl/>
        <w:spacing w:line="520" w:lineRule="exact"/>
        <w:ind w:left="-540" w:leftChars="-257" w:right="-512" w:rightChars="-244" w:firstLine="434" w:firstLineChars="180"/>
        <w:jc w:val="left"/>
        <w:rPr>
          <w:rFonts w:ascii="仿宋_GB2312" w:hAnsi="仿宋" w:eastAsia="仿宋_GB2312" w:cs="宋体"/>
          <w:b/>
          <w:bCs/>
          <w:kern w:val="0"/>
          <w:sz w:val="24"/>
          <w:u w:val="single"/>
        </w:rPr>
      </w:pPr>
      <w:r>
        <w:rPr>
          <w:rFonts w:hint="eastAsia" w:ascii="仿宋_GB2312" w:hAnsi="仿宋" w:eastAsia="仿宋_GB2312" w:cs="宋体"/>
          <w:b/>
          <w:bCs/>
          <w:kern w:val="0"/>
          <w:sz w:val="24"/>
        </w:rPr>
        <w:t>电子邮箱：</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u w:val="single"/>
          <w:lang w:val="en-US" w:eastAsia="zh-CN"/>
        </w:rPr>
        <w:t xml:space="preserve">         </w:t>
      </w:r>
      <w:r>
        <w:rPr>
          <w:rFonts w:hint="eastAsia" w:ascii="仿宋_GB2312" w:hAnsi="仿宋" w:eastAsia="仿宋_GB2312" w:cs="宋体"/>
          <w:b/>
          <w:bCs/>
          <w:kern w:val="0"/>
          <w:sz w:val="24"/>
          <w:u w:val="single"/>
        </w:rPr>
        <w:t xml:space="preserve">    </w:t>
      </w:r>
    </w:p>
    <w:p w14:paraId="4F9E0303">
      <w:pPr>
        <w:widowControl/>
        <w:spacing w:line="520" w:lineRule="exact"/>
        <w:ind w:left="-540" w:leftChars="-257" w:right="-512" w:rightChars="-244" w:firstLine="434" w:firstLineChars="180"/>
        <w:jc w:val="left"/>
        <w:rPr>
          <w:rFonts w:ascii="仿宋_GB2312" w:hAnsi="仿宋" w:eastAsia="仿宋_GB2312" w:cs="宋体"/>
          <w:b/>
          <w:bCs/>
          <w:kern w:val="0"/>
          <w:sz w:val="24"/>
        </w:rPr>
      </w:pPr>
      <w:r>
        <w:rPr>
          <w:rFonts w:hint="eastAsia" w:ascii="仿宋_GB2312" w:hAnsi="仿宋" w:eastAsia="仿宋_GB2312" w:cs="宋体"/>
          <w:b/>
          <w:bCs/>
          <w:kern w:val="0"/>
          <w:sz w:val="24"/>
        </w:rPr>
        <w:t>传真：</w:t>
      </w:r>
      <w:r>
        <w:rPr>
          <w:rFonts w:hint="eastAsia" w:ascii="仿宋_GB2312" w:hAnsi="仿宋" w:eastAsia="仿宋_GB2312" w:cs="宋体"/>
          <w:b/>
          <w:bCs/>
          <w:kern w:val="0"/>
          <w:sz w:val="24"/>
          <w:u w:val="single"/>
        </w:rPr>
        <w:t xml:space="preserve">                            </w:t>
      </w:r>
      <w:r>
        <w:rPr>
          <w:rFonts w:hint="eastAsia" w:ascii="仿宋_GB2312" w:hAnsi="仿宋" w:eastAsia="仿宋_GB2312" w:cs="宋体"/>
          <w:b/>
          <w:bCs/>
          <w:kern w:val="0"/>
          <w:sz w:val="24"/>
        </w:rPr>
        <w:t xml:space="preserve">                      </w:t>
      </w:r>
    </w:p>
    <w:p w14:paraId="33AE3319">
      <w:pPr>
        <w:widowControl/>
        <w:spacing w:line="520" w:lineRule="exact"/>
        <w:ind w:left="-540" w:leftChars="-257" w:right="-512" w:rightChars="-244" w:firstLine="432" w:firstLineChars="180"/>
        <w:jc w:val="left"/>
        <w:rPr>
          <w:rFonts w:ascii="仿宋_GB2312" w:hAnsi="仿宋" w:eastAsia="仿宋_GB2312" w:cs="宋体"/>
          <w:kern w:val="0"/>
          <w:sz w:val="24"/>
          <w:u w:val="single"/>
        </w:rPr>
      </w:pPr>
    </w:p>
    <w:p w14:paraId="4324F85A">
      <w:pPr>
        <w:widowControl/>
        <w:spacing w:line="520" w:lineRule="exact"/>
        <w:ind w:left="-540" w:leftChars="-257" w:right="-512" w:rightChars="-244" w:firstLine="432" w:firstLineChars="180"/>
        <w:jc w:val="left"/>
        <w:rPr>
          <w:rFonts w:ascii="仿宋_GB2312" w:hAnsi="仿宋" w:eastAsia="仿宋_GB2312" w:cs="宋体"/>
          <w:kern w:val="0"/>
          <w:sz w:val="24"/>
        </w:rPr>
      </w:pPr>
      <w:r>
        <w:rPr>
          <w:rFonts w:hint="eastAsia" w:ascii="仿宋_GB2312" w:hAnsi="仿宋" w:eastAsia="仿宋_GB2312" w:cs="宋体"/>
          <w:kern w:val="0"/>
          <w:sz w:val="24"/>
        </w:rPr>
        <w:t>根据《中华人民共和国</w:t>
      </w:r>
      <w:r>
        <w:rPr>
          <w:rFonts w:hint="eastAsia" w:ascii="仿宋_GB2312" w:hAnsi="仿宋_GB2312" w:eastAsia="仿宋_GB2312" w:cs="仿宋_GB2312"/>
          <w:sz w:val="24"/>
        </w:rPr>
        <w:t>民法典</w:t>
      </w:r>
      <w:r>
        <w:rPr>
          <w:rFonts w:hint="eastAsia" w:ascii="仿宋_GB2312" w:hAnsi="仿宋" w:eastAsia="仿宋_GB2312" w:cs="宋体"/>
          <w:kern w:val="0"/>
          <w:sz w:val="24"/>
        </w:rPr>
        <w:t>》及相关法律法规的规定，乙方对甲方出租的房屋现状已充分了解，自愿承租该房屋，为明确甲、乙双方权利义务，在平等自愿基础上，</w:t>
      </w:r>
      <w:bookmarkStart w:id="6" w:name="_GoBack"/>
      <w:bookmarkEnd w:id="6"/>
      <w:r>
        <w:rPr>
          <w:rFonts w:hint="eastAsia" w:ascii="仿宋_GB2312" w:hAnsi="仿宋" w:eastAsia="仿宋_GB2312" w:cs="宋体"/>
          <w:kern w:val="0"/>
          <w:sz w:val="24"/>
        </w:rPr>
        <w:t>经协商一致，订立本合同。</w:t>
      </w:r>
    </w:p>
    <w:p w14:paraId="5E758F83">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 xml:space="preserve">第一条  租赁房屋基本情况 </w:t>
      </w:r>
    </w:p>
    <w:p w14:paraId="15E826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甲方出租的房屋坐落于</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，建筑面积约</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平方米。   </w:t>
      </w:r>
    </w:p>
    <w:p w14:paraId="780C3E9A">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第二条  房屋租赁期限及用途限制</w:t>
      </w:r>
    </w:p>
    <w:p w14:paraId="503ADC4B">
      <w:pPr>
        <w:widowControl/>
        <w:spacing w:line="520" w:lineRule="exact"/>
        <w:ind w:left="-540" w:leftChars="-257" w:right="-512" w:rightChars="-244" w:firstLine="480" w:firstLineChars="200"/>
        <w:jc w:val="left"/>
        <w:rPr>
          <w:rFonts w:hint="default" w:ascii="仿宋_GB2312" w:hAnsi="仿宋" w:eastAsia="仿宋_GB2312" w:cs="宋体"/>
          <w:kern w:val="0"/>
          <w:sz w:val="24"/>
          <w:lang w:val="en-US" w:eastAsia="zh-CN"/>
        </w:rPr>
      </w:pPr>
      <w:r>
        <w:rPr>
          <w:rFonts w:hint="eastAsia" w:ascii="仿宋_GB2312" w:hAnsi="仿宋" w:eastAsia="仿宋_GB2312" w:cs="宋体"/>
          <w:kern w:val="0"/>
          <w:sz w:val="24"/>
        </w:rPr>
        <w:t>1、房屋租赁期限自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_GB2312" w:hAnsi="仿宋" w:eastAsia="仿宋_GB2312" w:cs="宋体"/>
          <w:kern w:val="0"/>
          <w:sz w:val="24"/>
        </w:rPr>
        <w:t>日止。中标后，提供三个月装修期。</w:t>
      </w:r>
      <w:r>
        <w:rPr>
          <w:rFonts w:hint="eastAsia" w:ascii="仿宋_GB2312" w:hAnsi="仿宋" w:eastAsia="仿宋_GB2312" w:cs="宋体"/>
          <w:kern w:val="0"/>
          <w:sz w:val="24"/>
          <w:lang w:val="en-US" w:eastAsia="zh-CN"/>
        </w:rPr>
        <w:t>租金从第四个月算起。</w:t>
      </w:r>
    </w:p>
    <w:p w14:paraId="14AD1E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2、租赁的房屋用途仅作为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使用，房产只能按现状进行经营使用，不得另作他用。乙方不得在空地上随意建设、不得违章搭建、从事无照经营或其他违法经营活动。</w:t>
      </w:r>
    </w:p>
    <w:p w14:paraId="00D529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3、乙方承诺不利用租赁房屋从事</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等在内的</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行业，并采取有效措施使其边界噪声、排放物达到国家规定的环境噪声、排放物的排放标准，经营行为符合《中华人民共和国环境保护法》等法律、法规、规章的规定，厦门经济特区政府另有规定的，从其规定。乙方的经营行为对他人造成危害的，应承担相应的赔偿责任。</w:t>
      </w:r>
    </w:p>
    <w:p w14:paraId="4D9E427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4、原承租人在新一轮未中标或自动放弃承租的，应于新承租人签订合同后十五日内将公司注册地变更完，确保新承租人顺利办理工商登记，并把门牌移交给我司。</w:t>
      </w:r>
    </w:p>
    <w:p w14:paraId="6977A8DE">
      <w:pPr>
        <w:widowControl/>
        <w:spacing w:line="520" w:lineRule="exact"/>
        <w:ind w:left="-540" w:leftChars="-257" w:right="-512" w:rightChars="-244" w:firstLine="480" w:firstLineChars="200"/>
        <w:jc w:val="left"/>
        <w:rPr>
          <w:rFonts w:ascii="仿宋_GB2312" w:hAnsi="仿宋" w:eastAsia="仿宋_GB2312" w:cs="宋体"/>
          <w:kern w:val="0"/>
          <w:sz w:val="24"/>
          <w:u w:val="single"/>
        </w:rPr>
      </w:pPr>
      <w:r>
        <w:rPr>
          <w:rFonts w:hint="eastAsia" w:ascii="仿宋_GB2312" w:hAnsi="仿宋" w:eastAsia="仿宋_GB2312" w:cs="宋体"/>
          <w:kern w:val="0"/>
          <w:sz w:val="24"/>
          <w:u w:val="single"/>
        </w:rPr>
        <w:t>注：店面门口及停车场管理权不属于甲方，有关店面门口及停车场的使用事宜需乙方自行与城投公司或者相关部门协商。</w:t>
      </w:r>
    </w:p>
    <w:p w14:paraId="1D3C27AB">
      <w:pPr>
        <w:widowControl/>
        <w:spacing w:line="520" w:lineRule="exact"/>
        <w:ind w:right="-512" w:rightChars="-244"/>
        <w:jc w:val="left"/>
        <w:rPr>
          <w:rFonts w:ascii="仿宋_GB2312" w:hAnsi="仿宋" w:eastAsia="仿宋_GB2312" w:cs="宋体"/>
          <w:b/>
          <w:bCs/>
          <w:kern w:val="0"/>
          <w:sz w:val="24"/>
        </w:rPr>
      </w:pPr>
      <w:r>
        <w:rPr>
          <w:rFonts w:hint="eastAsia" w:ascii="仿宋_GB2312" w:hAnsi="仿宋" w:eastAsia="仿宋_GB2312" w:cs="宋体"/>
          <w:b/>
          <w:bCs/>
          <w:kern w:val="0"/>
          <w:sz w:val="24"/>
        </w:rPr>
        <w:t>第三条  租赁履行保证金</w:t>
      </w:r>
    </w:p>
    <w:p w14:paraId="65C5EBC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合同签订当日，乙方应支付给甲方</w:t>
      </w:r>
      <w:r>
        <w:rPr>
          <w:rFonts w:hint="eastAsia" w:ascii="仿宋_GB2312" w:hAnsi="仿宋" w:eastAsia="仿宋_GB2312" w:cs="宋体"/>
          <w:kern w:val="0"/>
          <w:sz w:val="24"/>
          <w:u w:val="single"/>
        </w:rPr>
        <w:t>陆</w:t>
      </w:r>
      <w:r>
        <w:rPr>
          <w:rFonts w:hint="eastAsia" w:ascii="仿宋_GB2312" w:hAnsi="仿宋" w:eastAsia="仿宋_GB2312" w:cs="宋体"/>
          <w:kern w:val="0"/>
          <w:sz w:val="24"/>
        </w:rPr>
        <w:t>个月的租金人民币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元整（大写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元整，不计息）</w:t>
      </w:r>
      <w:r>
        <w:rPr>
          <w:rFonts w:hint="eastAsia" w:ascii="仿宋_GB2312" w:hAnsi="仿宋" w:eastAsia="仿宋_GB2312" w:cs="宋体"/>
          <w:kern w:val="0"/>
          <w:sz w:val="24"/>
        </w:rPr>
        <w:t>作为履约保证金。</w:t>
      </w:r>
    </w:p>
    <w:p w14:paraId="5304FDD9">
      <w:pPr>
        <w:widowControl/>
        <w:spacing w:line="520" w:lineRule="exact"/>
        <w:ind w:left="-540" w:leftChars="-257" w:right="-512" w:rightChars="-244" w:firstLine="482" w:firstLineChars="200"/>
        <w:jc w:val="left"/>
        <w:rPr>
          <w:rFonts w:ascii="仿宋_GB2312" w:hAnsi="仿宋" w:eastAsia="仿宋_GB2312" w:cs="宋体"/>
          <w:kern w:val="0"/>
          <w:sz w:val="24"/>
        </w:rPr>
      </w:pPr>
      <w:r>
        <w:rPr>
          <w:rFonts w:hint="eastAsia" w:ascii="仿宋_GB2312" w:hAnsi="仿宋" w:eastAsia="仿宋_GB2312" w:cs="宋体"/>
          <w:b/>
          <w:bCs/>
          <w:kern w:val="0"/>
          <w:sz w:val="24"/>
        </w:rPr>
        <w:t>第四条  租金及支付方式</w:t>
      </w:r>
    </w:p>
    <w:p w14:paraId="1FD9E6B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 w:hAnsi="仿宋" w:eastAsia="仿宋" w:cs="宋体"/>
          <w:kern w:val="0"/>
          <w:sz w:val="24"/>
        </w:rPr>
        <w:t>房屋自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日起至</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日止每月租金为人民币</w:t>
      </w:r>
      <w:r>
        <w:rPr>
          <w:rFonts w:hint="eastAsia" w:ascii="仿宋" w:hAnsi="仿宋" w:eastAsia="仿宋" w:cs="宋体"/>
          <w:kern w:val="0"/>
          <w:sz w:val="24"/>
          <w:u w:val="single"/>
        </w:rPr>
        <w:t xml:space="preserve">          </w:t>
      </w:r>
      <w:r>
        <w:rPr>
          <w:rFonts w:hint="eastAsia" w:ascii="仿宋" w:hAnsi="仿宋" w:eastAsia="仿宋" w:cs="宋体"/>
          <w:kern w:val="0"/>
          <w:sz w:val="24"/>
        </w:rPr>
        <w:t>元/月（大写</w:t>
      </w:r>
      <w:r>
        <w:rPr>
          <w:rFonts w:hint="eastAsia" w:ascii="仿宋" w:hAnsi="仿宋" w:eastAsia="仿宋" w:cs="宋体"/>
          <w:kern w:val="0"/>
          <w:sz w:val="24"/>
          <w:u w:val="single"/>
        </w:rPr>
        <w:t xml:space="preserve">     </w:t>
      </w:r>
      <w:r>
        <w:rPr>
          <w:rFonts w:hint="eastAsia" w:ascii="仿宋" w:hAnsi="仿宋" w:eastAsia="仿宋" w:cs="宋体"/>
          <w:kern w:val="0"/>
          <w:sz w:val="24"/>
        </w:rPr>
        <w:t>仟</w:t>
      </w:r>
      <w:r>
        <w:rPr>
          <w:rFonts w:hint="eastAsia" w:ascii="仿宋" w:hAnsi="仿宋" w:eastAsia="仿宋" w:cs="宋体"/>
          <w:kern w:val="0"/>
          <w:sz w:val="24"/>
          <w:u w:val="single"/>
        </w:rPr>
        <w:t xml:space="preserve">     </w:t>
      </w:r>
      <w:r>
        <w:rPr>
          <w:rFonts w:hint="eastAsia" w:ascii="仿宋" w:hAnsi="仿宋" w:eastAsia="仿宋" w:cs="宋体"/>
          <w:kern w:val="0"/>
          <w:sz w:val="24"/>
        </w:rPr>
        <w:t>佰</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拾 </w:t>
      </w:r>
      <w:r>
        <w:rPr>
          <w:rFonts w:hint="eastAsia" w:ascii="仿宋" w:hAnsi="仿宋" w:eastAsia="仿宋" w:cs="宋体"/>
          <w:kern w:val="0"/>
          <w:sz w:val="24"/>
          <w:u w:val="single"/>
        </w:rPr>
        <w:t xml:space="preserve">    </w:t>
      </w:r>
      <w:r>
        <w:rPr>
          <w:rFonts w:hint="eastAsia" w:ascii="仿宋" w:hAnsi="仿宋" w:eastAsia="仿宋" w:cs="宋体"/>
          <w:kern w:val="0"/>
          <w:sz w:val="24"/>
        </w:rPr>
        <w:t xml:space="preserve">   元整）, 自</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rPr>
        <w:t>日起月租金按上一年的月租金标准递增5％</w:t>
      </w:r>
      <w:r>
        <w:rPr>
          <w:rFonts w:hint="eastAsia" w:ascii="仿宋_GB2312" w:hAnsi="仿宋" w:eastAsia="仿宋_GB2312" w:cs="宋体"/>
          <w:kern w:val="0"/>
          <w:sz w:val="24"/>
        </w:rPr>
        <w:t>。</w:t>
      </w:r>
    </w:p>
    <w:p w14:paraId="6DA53CC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2、房屋租金支付方式：</w:t>
      </w:r>
    </w:p>
    <w:p w14:paraId="457C2C5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租金按每</w:t>
      </w:r>
      <w:r>
        <w:rPr>
          <w:rFonts w:hint="eastAsia" w:ascii="仿宋_GB2312" w:hAnsi="仿宋" w:eastAsia="仿宋_GB2312" w:cs="宋体"/>
          <w:kern w:val="0"/>
          <w:sz w:val="24"/>
          <w:u w:val="single"/>
        </w:rPr>
        <w:t>叁个月</w:t>
      </w:r>
      <w:r>
        <w:rPr>
          <w:rFonts w:hint="eastAsia" w:ascii="仿宋_GB2312" w:hAnsi="仿宋" w:eastAsia="仿宋_GB2312" w:cs="宋体"/>
          <w:kern w:val="0"/>
          <w:sz w:val="24"/>
        </w:rPr>
        <w:t>为一期支付，乙方应于合同签订当日缴纳第一期租金，此后应于每期租金到期前5日内交付下期租金。</w:t>
      </w:r>
    </w:p>
    <w:p w14:paraId="190EC3EF">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宋体"/>
          <w:kern w:val="0"/>
          <w:sz w:val="24"/>
        </w:rPr>
        <w:t>3、</w:t>
      </w:r>
      <w:r>
        <w:rPr>
          <w:rFonts w:hint="eastAsia" w:ascii="仿宋_GB2312" w:hAnsi="仿宋" w:eastAsia="仿宋_GB2312" w:cs="Helvetica"/>
          <w:kern w:val="0"/>
          <w:sz w:val="24"/>
        </w:rPr>
        <w:t>甲方收款账号：</w:t>
      </w:r>
    </w:p>
    <w:p w14:paraId="783A9ECB">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开户名: 厦门市健益发展有限公司</w:t>
      </w:r>
    </w:p>
    <w:p w14:paraId="3ABBB28E">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开户行：建行同安支行</w:t>
      </w:r>
    </w:p>
    <w:p w14:paraId="3FFFAD29">
      <w:pPr>
        <w:widowControl/>
        <w:shd w:val="clear" w:color="auto" w:fill="FFFFFF"/>
        <w:spacing w:line="520" w:lineRule="exact"/>
        <w:ind w:firstLine="480" w:firstLineChars="200"/>
        <w:jc w:val="left"/>
        <w:rPr>
          <w:rFonts w:ascii="楷体_GB2312" w:hAnsi="楷体_GB2312" w:eastAsia="楷体_GB2312" w:cs="楷体_GB2312"/>
          <w:kern w:val="0"/>
          <w:sz w:val="24"/>
        </w:rPr>
      </w:pPr>
      <w:r>
        <w:rPr>
          <w:rFonts w:hint="eastAsia" w:ascii="楷体_GB2312" w:hAnsi="楷体_GB2312" w:eastAsia="楷体_GB2312" w:cs="楷体_GB2312"/>
          <w:kern w:val="0"/>
          <w:sz w:val="24"/>
        </w:rPr>
        <w:t>账号：  35101540001050005875</w:t>
      </w:r>
    </w:p>
    <w:p w14:paraId="17176CD5">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第五条  租赁期间相关费用</w:t>
      </w:r>
    </w:p>
    <w:p w14:paraId="14E25208">
      <w:pPr>
        <w:widowControl/>
        <w:spacing w:line="500" w:lineRule="exact"/>
        <w:ind w:left="-538" w:leftChars="-256"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乙方承租期间所发生的水费、电费、公摊水电费、有线电视收视费、生活垃圾处理费、卫生费、物业管理费等费用及产生的滞纳金均由乙方缴纳负担。乙方应保存并向甲方出示相关的缴费凭据。</w:t>
      </w:r>
    </w:p>
    <w:p w14:paraId="3A0000EE">
      <w:pPr>
        <w:widowControl/>
        <w:spacing w:line="500" w:lineRule="exact"/>
        <w:ind w:left="-538" w:leftChars="-256"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第六条  租赁期间安全生产及管理</w:t>
      </w:r>
    </w:p>
    <w:p w14:paraId="4BB6123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1、乙方要遵守国家的法律和法规、厦门市地方性法规规章以及计生方面等其它有关规定。</w:t>
      </w:r>
    </w:p>
    <w:p w14:paraId="28D091D3">
      <w:pPr>
        <w:widowControl/>
        <w:tabs>
          <w:tab w:val="left" w:pos="9030"/>
        </w:tabs>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承担安全主体责任，自行做好治安、消防、人身和财产防范等安全生产工作，遵循厦门市“网格化管理”，保证防范措施到位有效。因乙方原因发生安全等事故，甲方可没收履约保证金、提前终止合同，由此产生的一切后果和责任均由乙方承担。</w:t>
      </w:r>
    </w:p>
    <w:p w14:paraId="6677EF6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乙方应按规定及安全规范要求配备灭火器等其他消防器材，对所属及相关人员按要求进行必要安全生产工作的培训，及时完成达到甲方日常安全巡查中提出的整改要求,否则甲方可视乙方整改情况没收履约保证金直至终止合同。</w:t>
      </w:r>
    </w:p>
    <w:p w14:paraId="2C4420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4、乙方因经营需要设置店面招牌广告，须申报甲方书面同意并取得区相关部门审批手续后方可制作设置。</w:t>
      </w:r>
    </w:p>
    <w:p w14:paraId="26B08EB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乙方应执行政府有关负责门前“三包”的规定。垃圾按规定投放指定地点,做好分类。有垃圾转运通道的店面,由商家指定转运，并协助做好转运后通道清理保养工作。造成污洉洒地、污染到环境和空气的，甲方有权按每次发函整改为依据，从保证金中每次扣100元，凭证为据。</w:t>
      </w:r>
    </w:p>
    <w:p w14:paraId="3AF665B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6、乙方在不改变租赁房屋结构、用途的前提下，要将房屋全部或部分转租、转借他方，须提前45日书面申报甲方同意后，并办理合同变更手续。</w:t>
      </w:r>
    </w:p>
    <w:p w14:paraId="7C9818B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第七条  房屋的修缮与使用</w:t>
      </w:r>
    </w:p>
    <w:p w14:paraId="723C56BA">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方于本合同生效之日起将房屋交付给乙方使用(附移交确认书)，乙方对承租的房屋（含房屋内物品、水电等设施）负保护及维修责任，维修费用由乙方自理，造成设施或物品损坏的，乙方应负责修复或照价赔偿。</w:t>
      </w:r>
    </w:p>
    <w:p w14:paraId="14B8C6E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w:t>
      </w:r>
      <w:r>
        <w:rPr>
          <w:rFonts w:hint="eastAsia" w:ascii="仿宋_GB2312" w:hAnsi="仿宋" w:eastAsia="仿宋_GB2312" w:cs="Helvetica"/>
          <w:kern w:val="0"/>
          <w:sz w:val="24"/>
        </w:rPr>
        <w:t>乙方需出资改变房屋的内部结构、装修或设置对房屋结构有影响的设备，</w:t>
      </w:r>
      <w:bookmarkStart w:id="0" w:name="OLE_LINK2"/>
      <w:r>
        <w:rPr>
          <w:rFonts w:hint="eastAsia" w:ascii="仿宋_GB2312" w:hAnsi="仿宋" w:eastAsia="仿宋_GB2312" w:cs="Helvetica"/>
          <w:kern w:val="0"/>
          <w:sz w:val="24"/>
        </w:rPr>
        <w:t>涉及</w:t>
      </w:r>
      <w:bookmarkEnd w:id="0"/>
      <w:r>
        <w:rPr>
          <w:rFonts w:hint="eastAsia" w:ascii="仿宋_GB2312" w:hAnsi="仿宋" w:eastAsia="仿宋_GB2312" w:cs="Helvetica"/>
          <w:kern w:val="0"/>
          <w:sz w:val="24"/>
        </w:rPr>
        <w:t>的设计规模、范围、工艺、用料等方案均须事先征得甲方的书面同意后方可施工。租赁期满后或因乙方责任导致合同提前终止的，甲方有权选择以下其中一项权利：</w:t>
      </w:r>
    </w:p>
    <w:p w14:paraId="79540DFA">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（1）已形成房屋附合装饰装修物无偿归甲方所有；</w:t>
      </w:r>
    </w:p>
    <w:p w14:paraId="4F38B98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（2）乙方将房屋恢复原状；</w:t>
      </w:r>
    </w:p>
    <w:p w14:paraId="69A04B75">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（3）乙方支付甲方对房屋恢复原状实际发生的全部费用。</w:t>
      </w:r>
    </w:p>
    <w:p w14:paraId="474B1D27">
      <w:pPr>
        <w:widowControl/>
        <w:shd w:val="clear" w:color="auto" w:fill="FFFFFF"/>
        <w:spacing w:line="520" w:lineRule="exact"/>
        <w:jc w:val="left"/>
        <w:rPr>
          <w:rFonts w:ascii="仿宋_GB2312" w:hAnsi="仿宋" w:eastAsia="仿宋_GB2312" w:cs="Helvetica"/>
          <w:kern w:val="0"/>
          <w:sz w:val="24"/>
        </w:rPr>
      </w:pPr>
      <w:r>
        <w:rPr>
          <w:rFonts w:hint="eastAsia" w:ascii="仿宋_GB2312" w:hAnsi="仿宋" w:eastAsia="仿宋_GB2312" w:cs="Helvetica"/>
          <w:kern w:val="0"/>
          <w:sz w:val="24"/>
        </w:rPr>
        <w:t>3、乙方应确保承租场所设有2个或2个以上消防逃生通道，费用自理。</w:t>
      </w:r>
    </w:p>
    <w:p w14:paraId="470FD312">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第八条  合同的解除与终止</w:t>
      </w:r>
    </w:p>
    <w:p w14:paraId="4857995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w:t>
      </w:r>
      <w:r>
        <w:rPr>
          <w:rFonts w:hint="eastAsia" w:ascii="仿宋_GB2312" w:hAnsi="仿宋" w:eastAsia="仿宋_GB2312" w:cs="宋体"/>
          <w:b/>
          <w:bCs/>
          <w:kern w:val="0"/>
          <w:sz w:val="24"/>
        </w:rPr>
        <w:t>乙方不履行或不完全履行合同义务时,甲方有权单方收回出租房屋。</w:t>
      </w:r>
    </w:p>
    <w:p w14:paraId="21FE4A0E">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房屋租赁期间，乙方有下列行为之一的，甲方有权解除本合同，收回出租房屋，租赁履约保证金不予退还：</w:t>
      </w:r>
    </w:p>
    <w:p w14:paraId="23A5A90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（1）未经甲方书面同意全部或部分转租、转借所承租的房屋；</w:t>
      </w:r>
    </w:p>
    <w:p w14:paraId="0445611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（2）未经甲方书面同意擅自拆改变动房屋结构；</w:t>
      </w:r>
    </w:p>
    <w:p w14:paraId="282296D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（3）损坏承租房屋及配套设施和物品，在甲方提出的合理期限内仍未修复的；</w:t>
      </w:r>
    </w:p>
    <w:p w14:paraId="6A50BDE0">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（4）未经甲方书面同意改变本合同约定的房屋租赁用途；</w:t>
      </w:r>
    </w:p>
    <w:p w14:paraId="2FBA14B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（5）利用承租房屋存放危险物或从事赌博、吸毒等其它违法活动；</w:t>
      </w:r>
    </w:p>
    <w:p w14:paraId="4E0E4BC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（6）逾期未交纳按约定应当由乙方交纳的各项费用；</w:t>
      </w:r>
    </w:p>
    <w:p w14:paraId="18F2FCF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（7）拖欠房屋租金累计5日以上（含本数）；</w:t>
      </w:r>
    </w:p>
    <w:p w14:paraId="73013CAB">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（8）不按照规定和本合同约定要求设置户外广告牌；</w:t>
      </w:r>
    </w:p>
    <w:p w14:paraId="3D35B437">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（9）在房屋内部、周围、屋顶、阳台等处违法建设（搭建）附属物或违章占道经营的；</w:t>
      </w:r>
    </w:p>
    <w:p w14:paraId="2A915D4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（10）不遵守和履行合同附件及甲方有关管理制度，经劝导后仍未及时整改的。</w:t>
      </w:r>
    </w:p>
    <w:p w14:paraId="46FC7A59">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2、乙方违反本合同约定，甲方有权提前终止合同，乙方因此造成的全部损失自行承担。</w:t>
      </w:r>
    </w:p>
    <w:p w14:paraId="330ACD3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3、租赁期满日，本合同即自行终止，甲方有权无偿收回房屋并向社会公开招投标。</w:t>
      </w:r>
    </w:p>
    <w:p w14:paraId="70798785">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4、乙方拖欠房屋租金累计5日以上、拖欠租金且经甲方按本合同首部电话联系方式无法联系乙方的、租期届满时不腾退房屋的，甲方经本合同第十二条约定的通知与送达方式催告</w:t>
      </w:r>
      <w:r>
        <w:rPr>
          <w:rFonts w:hint="eastAsia" w:ascii="仿宋_GB2312" w:hAnsi="仿宋" w:eastAsia="仿宋_GB2312" w:cs="宋体"/>
          <w:kern w:val="0"/>
          <w:sz w:val="24"/>
          <w:u w:val="single"/>
        </w:rPr>
        <w:t xml:space="preserve"> 七个日历日    </w:t>
      </w:r>
      <w:r>
        <w:rPr>
          <w:rFonts w:hint="eastAsia" w:ascii="仿宋_GB2312" w:hAnsi="仿宋" w:eastAsia="仿宋_GB2312" w:cs="宋体"/>
          <w:kern w:val="0"/>
          <w:sz w:val="24"/>
        </w:rPr>
        <w:t>后，甲方有权自行组织人员（或在公证机关等有关部门的协助下）单方收回房屋。</w:t>
      </w:r>
    </w:p>
    <w:p w14:paraId="7E96010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乙方拒不到场或无法按本合同首部约定的方式联系的，甲方有权（或在公证机关等有关部门的协助下）清点存放在出租房屋中的财物时,登记造册、拍照或摄像,保全过程制作现场记录,财物交由甲方处置。</w:t>
      </w:r>
    </w:p>
    <w:p w14:paraId="56ECDD21">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甲方就上述事项向乙方发出中国邮政EMS</w:t>
      </w:r>
      <w:r>
        <w:rPr>
          <w:rFonts w:hint="eastAsia" w:ascii="仿宋_GB2312" w:hAnsi="仿宋" w:eastAsia="仿宋_GB2312" w:cs="宋体"/>
          <w:kern w:val="0"/>
          <w:sz w:val="24"/>
          <w:u w:val="single"/>
        </w:rPr>
        <w:t>十五个日历后</w:t>
      </w:r>
      <w:r>
        <w:rPr>
          <w:rFonts w:hint="eastAsia" w:ascii="仿宋_GB2312" w:hAnsi="仿宋" w:eastAsia="仿宋_GB2312" w:cs="宋体"/>
          <w:kern w:val="0"/>
          <w:sz w:val="24"/>
        </w:rPr>
        <w:t>（无论乙方是否实际签收或拒绝签收），上述财物视作乙方抛弃物且由甲方自由处置。</w:t>
      </w:r>
    </w:p>
    <w:p w14:paraId="2ED8ABD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5、甲方因依法如约单方收回房屋发生的诉讼费、律师代理费、公证费、保管费、评估费、鉴定费、查询费、邮寄费等一切费用，均由乙方全部承担。</w:t>
      </w:r>
    </w:p>
    <w:p w14:paraId="27110C99">
      <w:pPr>
        <w:widowControl/>
        <w:spacing w:line="520" w:lineRule="exact"/>
        <w:ind w:right="-512" w:rightChars="-244"/>
        <w:jc w:val="left"/>
        <w:rPr>
          <w:rFonts w:ascii="仿宋_GB2312" w:hAnsi="仿宋" w:eastAsia="仿宋_GB2312" w:cs="宋体"/>
          <w:kern w:val="0"/>
          <w:sz w:val="24"/>
        </w:rPr>
      </w:pPr>
      <w:r>
        <w:rPr>
          <w:rFonts w:hint="eastAsia" w:ascii="仿宋_GB2312" w:hAnsi="仿宋" w:eastAsia="仿宋_GB2312" w:cs="宋体"/>
          <w:b/>
          <w:bCs/>
          <w:kern w:val="0"/>
          <w:sz w:val="24"/>
        </w:rPr>
        <w:t>第九条  违约责任</w:t>
      </w:r>
    </w:p>
    <w:p w14:paraId="423BAE2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租赁期内，乙方未经甲方同意，中途擅自退租的，甲方不予退回乙方已交的租金和租赁履约保证金，同时不补偿乙方对该房屋投入、装修及其他费用，乙方添置的动产及商品由乙方自行处理，已形成的房屋附合装饰装修物（含门窗、防盗网、水电设施等）无偿归甲方所有。</w:t>
      </w:r>
    </w:p>
    <w:p w14:paraId="29B9A968">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2、租赁期内，乙方不得拖欠房租，乙方逾期交纳本合同约定的租金及各项费用，每逾期一日，则应按逾期欠缴金额的百分之一向甲方支付违约金，直至欠款付清日。</w:t>
      </w:r>
    </w:p>
    <w:p w14:paraId="38EED8E6">
      <w:pPr>
        <w:widowControl/>
        <w:spacing w:line="520" w:lineRule="exact"/>
        <w:ind w:left="-517" w:leftChars="-246" w:right="-176" w:rightChars="-8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租赁期满日，乙方应如期如数完好交还该房屋及设施和物品，甲方则无息退还乙方履约保证金。乙方逾期交还房屋及设施和物品，甲方不退还租赁履行保证金；且每逾期一日，乙方应向甲方支付日租金的5倍作为迟延履行违约金，直到交还房屋及设施和物品之日止。</w:t>
      </w:r>
    </w:p>
    <w:p w14:paraId="7DECD60B">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第十条</w:t>
      </w:r>
      <w:bookmarkStart w:id="1" w:name="OLE_LINK1"/>
      <w:r>
        <w:rPr>
          <w:rFonts w:hint="eastAsia" w:ascii="仿宋_GB2312" w:hAnsi="仿宋" w:eastAsia="仿宋_GB2312" w:cs="宋体"/>
          <w:b/>
          <w:bCs/>
          <w:kern w:val="0"/>
          <w:sz w:val="24"/>
        </w:rPr>
        <w:t xml:space="preserve">  不可抗力（情势变更）</w:t>
      </w:r>
    </w:p>
    <w:p w14:paraId="4AF48FA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1、因不可抗力原因致使本合同不能继续履行或造成的损失，甲、乙双方互不承担责任，因上述原因而终止合同的，租金</w:t>
      </w:r>
      <w:r>
        <w:rPr>
          <w:rFonts w:hint="eastAsia" w:ascii="仿宋_GB2312" w:hAnsi="仿宋" w:eastAsia="仿宋_GB2312"/>
          <w:sz w:val="24"/>
        </w:rPr>
        <w:t>和各项费用计算至自行搬迁完毕交还房屋及物品和设施止</w:t>
      </w:r>
      <w:r>
        <w:rPr>
          <w:rFonts w:hint="eastAsia" w:ascii="仿宋_GB2312" w:hAnsi="仿宋" w:eastAsia="仿宋_GB2312" w:cs="宋体"/>
          <w:kern w:val="0"/>
          <w:sz w:val="24"/>
        </w:rPr>
        <w:t>，多退少补。</w:t>
      </w:r>
    </w:p>
    <w:p w14:paraId="00028567">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2、</w:t>
      </w:r>
      <w:r>
        <w:rPr>
          <w:rFonts w:hint="eastAsia" w:ascii="仿宋_GB2312" w:hAnsi="仿宋" w:eastAsia="仿宋_GB2312" w:cs="宋体"/>
          <w:kern w:val="0"/>
          <w:sz w:val="24"/>
        </w:rPr>
        <w:t>房屋租赁</w:t>
      </w:r>
      <w:r>
        <w:rPr>
          <w:rFonts w:hint="eastAsia" w:ascii="仿宋_GB2312" w:hAnsi="仿宋" w:eastAsia="仿宋_GB2312"/>
          <w:sz w:val="24"/>
        </w:rPr>
        <w:t>期间，因城市建设、政府征用（收）、房产开发、政府及其部门作出政策调整等</w:t>
      </w:r>
      <w:bookmarkStart w:id="2" w:name="OLE_LINK3"/>
      <w:r>
        <w:rPr>
          <w:rFonts w:hint="eastAsia" w:ascii="仿宋_GB2312" w:hAnsi="仿宋" w:eastAsia="仿宋_GB2312"/>
          <w:sz w:val="24"/>
        </w:rPr>
        <w:t>其它重大情势变更</w:t>
      </w:r>
      <w:bookmarkEnd w:id="2"/>
      <w:r>
        <w:rPr>
          <w:rFonts w:hint="eastAsia" w:ascii="仿宋_GB2312" w:hAnsi="仿宋" w:eastAsia="仿宋_GB2312"/>
          <w:sz w:val="24"/>
        </w:rPr>
        <w:t>致使本合同无法继续履行的，甲方有权提前终止本合同，乙方应无条件服从。</w:t>
      </w:r>
    </w:p>
    <w:p w14:paraId="51E8F1AF">
      <w:pPr>
        <w:widowControl/>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终止本合同后，按政府及其有关部门规定的安置补偿方案执行，乙方应在接到甲方书面通知规定期限内自行搬迁完毕，交还租赁的房屋及移交清单上的物品和设施，缴清租金和各项费用，租金和各项费用计算至自行搬迁完毕交还房屋及物品和设施止。</w:t>
      </w:r>
      <w:bookmarkStart w:id="3" w:name="OLE_LINK4"/>
      <w:r>
        <w:rPr>
          <w:rFonts w:hint="eastAsia" w:ascii="仿宋_GB2312" w:hAnsi="仿宋" w:eastAsia="仿宋_GB2312"/>
          <w:sz w:val="24"/>
        </w:rPr>
        <w:t>否则</w:t>
      </w:r>
      <w:bookmarkEnd w:id="3"/>
      <w:r>
        <w:rPr>
          <w:rFonts w:hint="eastAsia" w:ascii="仿宋_GB2312" w:hAnsi="仿宋" w:eastAsia="仿宋_GB2312"/>
          <w:sz w:val="24"/>
        </w:rPr>
        <w:t>，乙方应按第九条第2、3项规定承担违约责任。</w:t>
      </w:r>
    </w:p>
    <w:p w14:paraId="670E5E57">
      <w:pPr>
        <w:widowControl/>
        <w:numPr>
          <w:ilvl w:val="0"/>
          <w:numId w:val="1"/>
        </w:numPr>
        <w:spacing w:line="520" w:lineRule="exact"/>
        <w:ind w:left="-540" w:leftChars="-257" w:right="-512" w:rightChars="-244" w:firstLine="480" w:firstLineChars="200"/>
        <w:jc w:val="left"/>
        <w:rPr>
          <w:rFonts w:ascii="仿宋_GB2312" w:hAnsi="仿宋" w:eastAsia="仿宋_GB2312"/>
          <w:sz w:val="24"/>
        </w:rPr>
      </w:pPr>
      <w:r>
        <w:rPr>
          <w:rFonts w:hint="eastAsia" w:ascii="仿宋_GB2312" w:hAnsi="仿宋" w:eastAsia="仿宋_GB2312"/>
          <w:sz w:val="24"/>
        </w:rPr>
        <w:t>因政府拆迁需要，乙方应在甲方发出中国邮政EMS三十个日历日内无条件自行腾空房产并将房产归还甲方，并不得以任何理由向甲方提出任何补偿的要求。 乙方在甲方发出中国邮政EMS三十个日历日内未腾空房产，留置于房产内的</w:t>
      </w:r>
      <w:r>
        <w:rPr>
          <w:rFonts w:hint="eastAsia" w:ascii="仿宋_GB2312" w:hAnsi="仿宋" w:eastAsia="仿宋_GB2312" w:cs="宋体"/>
          <w:kern w:val="0"/>
          <w:sz w:val="24"/>
        </w:rPr>
        <w:t>财物视作乙方抛弃物且由甲方自由处置。甲方因依法如约单方收回房屋发生的诉讼费、律师费代理、公证费、保管费、评估费、鉴定费、查询费、邮寄费等一切费用，均由乙方全部承担。</w:t>
      </w:r>
    </w:p>
    <w:bookmarkEnd w:id="1"/>
    <w:p w14:paraId="11786D7D">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第十一条  争议解决方式</w:t>
      </w:r>
    </w:p>
    <w:p w14:paraId="31444E5F">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1、甲乙双方在履行本合同发生的任何争议，应当协商或申请调解解决，协商或调解不能解决的 ，约定由</w:t>
      </w:r>
      <w:r>
        <w:rPr>
          <w:rFonts w:hint="eastAsia" w:ascii="仿宋_GB2312" w:hAnsi="仿宋" w:eastAsia="仿宋_GB2312" w:cs="宋体"/>
          <w:kern w:val="0"/>
          <w:sz w:val="24"/>
          <w:u w:val="single"/>
        </w:rPr>
        <w:t>甲方</w:t>
      </w:r>
      <w:r>
        <w:rPr>
          <w:rFonts w:hint="eastAsia" w:ascii="仿宋_GB2312" w:hAnsi="仿宋" w:eastAsia="仿宋_GB2312" w:cs="宋体"/>
          <w:kern w:val="0"/>
          <w:sz w:val="24"/>
        </w:rPr>
        <w:t>住所地管辖的人民法院依法受理。</w:t>
      </w:r>
    </w:p>
    <w:p w14:paraId="13431CC2">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2、甲方因乙方违约提起诉讼，据此产生的下述相关费用由乙方偿付甲方，包括但不限于诉讼费、公告费、财产保全费、财产保全担保费、公证费、评估费、鉴定费、差旅费、查询费、邮寄费、律师代理费等费用。</w:t>
      </w:r>
    </w:p>
    <w:p w14:paraId="28391BCC">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3、因乙方过错造成甲方提起法律诉讼的，本合同到期后，取消乙方原承租人资格。</w:t>
      </w:r>
    </w:p>
    <w:p w14:paraId="4172C69E">
      <w:pPr>
        <w:widowControl/>
        <w:spacing w:line="520" w:lineRule="exact"/>
        <w:ind w:left="-540" w:leftChars="-257" w:right="-512" w:rightChars="-244" w:firstLine="480" w:firstLineChars="200"/>
        <w:jc w:val="left"/>
        <w:rPr>
          <w:rFonts w:ascii="仿宋_GB2312" w:hAnsi="仿宋" w:eastAsia="仿宋_GB2312" w:cs="Helvetica"/>
          <w:kern w:val="0"/>
          <w:sz w:val="24"/>
        </w:rPr>
      </w:pPr>
      <w:r>
        <w:rPr>
          <w:rFonts w:hint="eastAsia" w:ascii="仿宋_GB2312" w:hAnsi="仿宋" w:eastAsia="仿宋_GB2312" w:cs="Helvetica"/>
          <w:kern w:val="0"/>
          <w:sz w:val="24"/>
        </w:rPr>
        <w:t>4、如果中标人为单位，公司股东均要作为担保人。</w:t>
      </w:r>
    </w:p>
    <w:p w14:paraId="483ED98F">
      <w:pPr>
        <w:widowControl/>
        <w:spacing w:line="520" w:lineRule="exact"/>
        <w:ind w:left="-540" w:leftChars="-257"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第十二条  通知与送达</w:t>
      </w:r>
    </w:p>
    <w:p w14:paraId="2A8E3483">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 本合同首部约定的地址、联系人及电子通信终端亦为双方工作联系往来、法律文书及争议解决时人民法院和/或仲裁机构的法律文书送达地址，人民法院和/或仲裁机构的诉讼文书（含裁判文书）向任何合同任何一方当事人的上述地址和/或工商登记公示地址（居民身份证登记地址）送达的，视为有效送达。</w:t>
      </w:r>
    </w:p>
    <w:p w14:paraId="6DC3DAA4">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2、甲乙双方之间任何与本合同有关的书面通知、要求和公告等文件，均可采用下列送达方式：</w:t>
      </w:r>
    </w:p>
    <w:p w14:paraId="7B3CE3CD">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（1）一方专人递送的，另一方签收日即为送达（拒签收，于拒签日视为送达）；</w:t>
      </w:r>
    </w:p>
    <w:p w14:paraId="505A32C9">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（2）一方采用邮寄或快递方式的，另一方签收日即为送达（未签收、拒签收，于该文件寄送至另一方在本合同确认的联系、送达信息内容视为送达；</w:t>
      </w:r>
    </w:p>
    <w:p w14:paraId="63C14BE6">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（3）一方将该文件采用传真、电子邮件、</w:t>
      </w:r>
      <w:bookmarkStart w:id="4" w:name="OLE_LINK7"/>
      <w:r>
        <w:rPr>
          <w:rFonts w:hint="eastAsia" w:ascii="仿宋_GB2312" w:hAnsi="仿宋" w:eastAsia="仿宋_GB2312" w:cs="宋体"/>
          <w:kern w:val="0"/>
          <w:sz w:val="24"/>
        </w:rPr>
        <w:t>移动通信</w:t>
      </w:r>
      <w:bookmarkEnd w:id="4"/>
      <w:r>
        <w:rPr>
          <w:rFonts w:hint="eastAsia" w:ascii="仿宋_GB2312" w:hAnsi="仿宋" w:eastAsia="仿宋_GB2312" w:cs="宋体"/>
          <w:kern w:val="0"/>
          <w:sz w:val="24"/>
        </w:rPr>
        <w:t xml:space="preserve">等即时收悉的特定系统进行送达另一方，一方对应系统显示发送成功的日期为该文件已到达另一方特定系统的日期； </w:t>
      </w:r>
    </w:p>
    <w:p w14:paraId="6B4550EC">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（4）乙方拒签甲方送达的</w:t>
      </w:r>
      <w:bookmarkStart w:id="5" w:name="OLE_LINK6"/>
      <w:r>
        <w:rPr>
          <w:rFonts w:hint="eastAsia" w:ascii="仿宋_GB2312" w:hAnsi="仿宋" w:eastAsia="仿宋_GB2312" w:cs="宋体"/>
          <w:kern w:val="0"/>
          <w:sz w:val="24"/>
        </w:rPr>
        <w:t>该文件</w:t>
      </w:r>
      <w:bookmarkEnd w:id="5"/>
      <w:r>
        <w:rPr>
          <w:rFonts w:hint="eastAsia" w:ascii="仿宋_GB2312" w:hAnsi="仿宋" w:eastAsia="仿宋_GB2312" w:cs="宋体"/>
          <w:kern w:val="0"/>
          <w:sz w:val="24"/>
        </w:rPr>
        <w:t>，甲方可发微信或在乙方承租的甲方房屋地方张贴该文件，并以拍照（或录像）方式记录留存日，视为该文件已送达乙方。</w:t>
      </w:r>
    </w:p>
    <w:p w14:paraId="15E3E672">
      <w:pPr>
        <w:widowControl/>
        <w:spacing w:line="520" w:lineRule="exact"/>
        <w:ind w:left="-540" w:leftChars="-257"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（5）任何一方在本条第1项中已经确认的地址、电话、邮箱、微信号等信息内容若发生改变后2日内，应书面通知另一方。否则，双方仍执行在本合同确认的联系、送达的信息内容。</w:t>
      </w:r>
    </w:p>
    <w:p w14:paraId="24049D97">
      <w:pPr>
        <w:widowControl/>
        <w:spacing w:line="520" w:lineRule="exact"/>
        <w:ind w:left="-540" w:leftChars="-257" w:right="-512" w:rightChars="-244" w:firstLine="480" w:firstLineChars="200"/>
        <w:jc w:val="left"/>
        <w:rPr>
          <w:rFonts w:ascii="仿宋_GB2312" w:hAnsi="仿宋" w:eastAsia="仿宋_GB2312" w:cs="宋体"/>
          <w:b/>
          <w:kern w:val="0"/>
          <w:sz w:val="24"/>
          <w:bdr w:val="single" w:color="auto" w:sz="4" w:space="0"/>
        </w:rPr>
      </w:pPr>
      <w:r>
        <w:rPr>
          <w:rFonts w:hint="eastAsia" w:ascii="仿宋_GB2312" w:hAnsi="仿宋" w:eastAsia="仿宋_GB2312" w:cs="宋体"/>
          <w:kern w:val="0"/>
          <w:sz w:val="24"/>
        </w:rPr>
        <w:t>3、甲乙双方确认同意本条第一款的约定也适用于本合同发生争议进行诉讼相关材料和法律文书的送达。当事人对电子通信终端的联系送达适用于争议解决时的送达。</w:t>
      </w:r>
      <w:r>
        <w:rPr>
          <w:rFonts w:hint="eastAsia" w:ascii="仿宋_GB2312" w:hAnsi="仿宋" w:eastAsia="仿宋_GB2312" w:cs="宋体"/>
          <w:b/>
          <w:kern w:val="0"/>
          <w:sz w:val="24"/>
          <w:bdr w:val="single" w:color="auto" w:sz="4" w:space="0"/>
        </w:rPr>
        <w:t xml:space="preserve"> </w:t>
      </w:r>
    </w:p>
    <w:p w14:paraId="32DEAFF7">
      <w:pPr>
        <w:widowControl/>
        <w:spacing w:line="520" w:lineRule="exact"/>
        <w:ind w:right="-512" w:rightChars="-244" w:firstLine="482" w:firstLineChars="200"/>
        <w:jc w:val="left"/>
        <w:rPr>
          <w:rFonts w:ascii="仿宋_GB2312" w:hAnsi="仿宋" w:eastAsia="仿宋_GB2312" w:cs="宋体"/>
          <w:b/>
          <w:bCs/>
          <w:kern w:val="0"/>
          <w:sz w:val="24"/>
        </w:rPr>
      </w:pPr>
      <w:r>
        <w:rPr>
          <w:rFonts w:hint="eastAsia" w:ascii="仿宋_GB2312" w:hAnsi="仿宋" w:eastAsia="仿宋_GB2312" w:cs="宋体"/>
          <w:b/>
          <w:bCs/>
          <w:kern w:val="0"/>
          <w:sz w:val="24"/>
        </w:rPr>
        <w:t>第十三条  其他</w:t>
      </w:r>
    </w:p>
    <w:p w14:paraId="7DFAC9E8">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1、本合同自甲乙双方签字盖章，并由乙方依约支付租赁履约保证金及第一期租金后生效。</w:t>
      </w:r>
    </w:p>
    <w:p w14:paraId="271CBB4F">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2、本合同未尽事宜，经甲、乙双方协商一致，订立补充条款。补充条款及附件《消防安全责任书》、《“门前三包”责任书》 均为本合同组成部分，与本合同具有同等法律效力。</w:t>
      </w:r>
    </w:p>
    <w:p w14:paraId="3C2EFCF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 xml:space="preserve">3、 本合同于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年</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月</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日订立，本合同及附件一式肆份，由甲方执叁份、乙方执壹份。</w:t>
      </w:r>
    </w:p>
    <w:p w14:paraId="05C7CEA5">
      <w:pPr>
        <w:widowControl/>
        <w:spacing w:line="520" w:lineRule="exact"/>
        <w:ind w:right="-512" w:rightChars="-244"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（以下无正文）</w:t>
      </w:r>
    </w:p>
    <w:p w14:paraId="3FFAFC9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甲方（盖章）：厦门市健益发展有限公司 乙方： </w:t>
      </w:r>
    </w:p>
    <w:p w14:paraId="59E12D49">
      <w:pPr>
        <w:widowControl/>
        <w:spacing w:line="720" w:lineRule="auto"/>
        <w:ind w:left="-533" w:leftChars="-254" w:right="-512" w:rightChars="-244" w:firstLine="424" w:firstLineChars="177"/>
        <w:jc w:val="left"/>
        <w:rPr>
          <w:rFonts w:ascii="仿宋_GB2312" w:hAnsi="仿宋" w:eastAsia="仿宋_GB2312" w:cs="宋体"/>
          <w:kern w:val="0"/>
          <w:sz w:val="24"/>
        </w:rPr>
      </w:pPr>
      <w:r>
        <w:rPr>
          <w:rFonts w:hint="eastAsia" w:ascii="仿宋_GB2312" w:hAnsi="仿宋" w:eastAsia="仿宋_GB2312" w:cs="宋体"/>
          <w:kern w:val="0"/>
          <w:sz w:val="24"/>
        </w:rPr>
        <w:t xml:space="preserve">法定代表人：                         法定代表人：                 </w:t>
      </w:r>
    </w:p>
    <w:p w14:paraId="2F343A6E">
      <w:pPr>
        <w:widowControl/>
        <w:spacing w:line="720" w:lineRule="auto"/>
        <w:ind w:right="-512" w:rightChars="-244"/>
        <w:jc w:val="left"/>
        <w:rPr>
          <w:rFonts w:ascii="仿宋_GB2312" w:hAnsi="仿宋" w:eastAsia="仿宋_GB2312" w:cs="宋体"/>
          <w:kern w:val="0"/>
          <w:sz w:val="24"/>
        </w:rPr>
      </w:pPr>
      <w:r>
        <w:rPr>
          <w:rFonts w:hint="eastAsia" w:ascii="仿宋_GB2312" w:hAnsi="仿宋" w:eastAsia="仿宋_GB2312" w:cs="宋体"/>
          <w:kern w:val="0"/>
          <w:sz w:val="24"/>
        </w:rPr>
        <w:t xml:space="preserve">                                     委托代理人：</w:t>
      </w:r>
    </w:p>
    <w:p w14:paraId="4EEAC459">
      <w:pPr>
        <w:widowControl/>
        <w:spacing w:line="720" w:lineRule="auto"/>
        <w:ind w:left="-533" w:leftChars="-254" w:right="-512" w:rightChars="-244" w:firstLine="424" w:firstLineChars="177"/>
        <w:jc w:val="left"/>
        <w:rPr>
          <w:rFonts w:ascii="宋体" w:hAnsi="宋体"/>
          <w:sz w:val="36"/>
          <w:szCs w:val="36"/>
        </w:rPr>
      </w:pPr>
      <w:r>
        <w:rPr>
          <w:rFonts w:hint="eastAsia" w:ascii="仿宋_GB2312" w:hAnsi="仿宋" w:eastAsia="仿宋_GB2312" w:cs="宋体"/>
          <w:kern w:val="0"/>
          <w:sz w:val="24"/>
        </w:rPr>
        <w:t xml:space="preserve">                    签约日期：       年      月      日</w:t>
      </w:r>
    </w:p>
    <w:p w14:paraId="6DC94539">
      <w:pPr>
        <w:pStyle w:val="5"/>
        <w:rPr>
          <w:rFonts w:ascii="宋体" w:hAnsi="宋体"/>
          <w:sz w:val="36"/>
          <w:szCs w:val="36"/>
        </w:rPr>
      </w:pPr>
    </w:p>
    <w:p w14:paraId="203FEBBE">
      <w:pPr>
        <w:pStyle w:val="5"/>
        <w:rPr>
          <w:rFonts w:ascii="宋体" w:hAnsi="宋体"/>
          <w:sz w:val="44"/>
          <w:szCs w:val="44"/>
        </w:rPr>
      </w:pPr>
      <w:r>
        <w:rPr>
          <w:rFonts w:hint="eastAsia" w:ascii="宋体" w:hAnsi="宋体"/>
          <w:sz w:val="36"/>
          <w:szCs w:val="36"/>
        </w:rPr>
        <w:t>消防安全责任书</w:t>
      </w:r>
    </w:p>
    <w:p w14:paraId="39EF020D">
      <w:pPr>
        <w:rPr>
          <w:rFonts w:ascii="仿宋" w:hAnsi="仿宋" w:eastAsia="仿宋"/>
        </w:rPr>
      </w:pPr>
    </w:p>
    <w:p w14:paraId="525DD3C3">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根据《中华人民共和国消防法》、《厦门市消防条例》等有关规定，对租赁合同中甲乙双方有关消防安全工作职责作以下规定。</w:t>
      </w:r>
    </w:p>
    <w:p w14:paraId="183F0280">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一、在租赁经营活动中的消防安全管理必须认真贯彻“预防为主，防消结合”、“谁承租，谁负责”的原则，明确承租人为消防安全的第一责任人；同时接受当地公安消防部门的指导、监察、检查及消防隐患的整改。</w:t>
      </w:r>
    </w:p>
    <w:p w14:paraId="31745F4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二、甲乙双方消防安全管理的职责：</w:t>
      </w:r>
    </w:p>
    <w:p w14:paraId="7029B389">
      <w:pPr>
        <w:pStyle w:val="2"/>
        <w:spacing w:line="500" w:lineRule="exact"/>
        <w:rPr>
          <w:rFonts w:ascii="仿宋_GB2312" w:hAnsi="仿宋_GB2312" w:eastAsia="仿宋_GB2312" w:cs="仿宋_GB2312"/>
          <w:szCs w:val="24"/>
          <w:u w:val="single"/>
        </w:rPr>
      </w:pPr>
      <w:r>
        <w:rPr>
          <w:rFonts w:hint="eastAsia" w:ascii="仿宋_GB2312" w:hAnsi="仿宋_GB2312" w:eastAsia="仿宋_GB2312" w:cs="仿宋_GB2312"/>
          <w:szCs w:val="24"/>
        </w:rPr>
        <w:t xml:space="preserve">   （一）甲方（出租方）：</w:t>
      </w:r>
      <w:r>
        <w:rPr>
          <w:rFonts w:hint="eastAsia" w:ascii="仿宋_GB2312" w:hAnsi="仿宋_GB2312" w:eastAsia="仿宋_GB2312" w:cs="仿宋_GB2312"/>
          <w:szCs w:val="24"/>
          <w:u w:val="single"/>
        </w:rPr>
        <w:t xml:space="preserve">厦门市健益发展有限公司 </w:t>
      </w:r>
    </w:p>
    <w:p w14:paraId="3DB38C7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1、甲方配合宣传消防法规、普及消防知识，协助乙方提高消防自防自救能力。</w:t>
      </w:r>
    </w:p>
    <w:p w14:paraId="5E1DA3F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2、配合当地公安消防部门督促、检查承租方有关消防法规的执行情况。</w:t>
      </w:r>
    </w:p>
    <w:p w14:paraId="27A87320">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3、甲方有权对乙方承租的场所进行消防检查，发现有违章违规现象和行为以及有火灾隐患的，甲方有权责令乙方进行整改和停业整顿。如乙方不在规定的时间内整改，甲方有权代乙方整改，因此而产生的一切损失和费用，由乙方自行承担。</w:t>
      </w:r>
    </w:p>
    <w:p w14:paraId="0AF57E75">
      <w:pPr>
        <w:pStyle w:val="2"/>
        <w:spacing w:line="500" w:lineRule="exact"/>
        <w:ind w:firstLine="360" w:firstLineChars="150"/>
        <w:rPr>
          <w:rFonts w:ascii="仿宋_GB2312" w:hAnsi="仿宋_GB2312" w:eastAsia="仿宋_GB2312" w:cs="仿宋_GB2312"/>
          <w:szCs w:val="24"/>
          <w:u w:val="single"/>
        </w:rPr>
      </w:pPr>
      <w:r>
        <w:rPr>
          <w:rFonts w:hint="eastAsia" w:ascii="仿宋_GB2312" w:hAnsi="仿宋_GB2312" w:eastAsia="仿宋_GB2312" w:cs="仿宋_GB2312"/>
          <w:szCs w:val="24"/>
        </w:rPr>
        <w:t>（二）乙方（承租方）:</w:t>
      </w:r>
      <w:r>
        <w:rPr>
          <w:rFonts w:hint="eastAsia" w:ascii="仿宋_GB2312" w:hAnsi="仿宋_GB2312" w:eastAsia="仿宋_GB2312" w:cs="仿宋_GB2312"/>
          <w:kern w:val="0"/>
          <w:szCs w:val="24"/>
          <w:u w:val="single"/>
        </w:rPr>
        <w:t xml:space="preserve">                             </w:t>
      </w:r>
    </w:p>
    <w:p w14:paraId="2882B4C9">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根据房产生产经营的实际情况，按消防相关规定，配足、配齐移动式灭火器材(包括消防部门要求配备的消防设施及各类灭火器材，及时维修、更换损坏的消防器材，确保性能良好，数量齐全)，并负责消防栓的维修保养。认真落实三定工作，即定人负责、定点存放、定期维护。员工必须做到一懂四会，即火灾的危险性,会使用消防设施器材，会扑灭初起之火，会正确报警，会自救（逃生）。采取有效防范措施，及时消除火险隐患。</w:t>
      </w:r>
    </w:p>
    <w:p w14:paraId="784C52A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2、乙方应按甲方提供的房产耐火等级、楼层负载等级进行生产经营，不得超等级经营、生产、储存易燃、易爆等化学危险品，如乙方生产需要少量化学用品，必须报当地公安消防部门审批，经批准后，方可按批准要求、范围、数量使用，不得超出批准范围。特种设备按规定进行年检、年审，取得合格证书。</w:t>
      </w:r>
    </w:p>
    <w:p w14:paraId="615436FB">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3、因生产经营的需要，对使用房产进行改造装修，拆改时，应书面征得甲方同意后，自行办理各项手续，经消防部门批准后实施。防火设计、施工必须符合国家有关消防技术规范，经验收合格后方可使用。擅自拆改租用场所，有碍消防安全的必须负责赔偿及由此造成的损失、造成事故应负法律责任。</w:t>
      </w:r>
    </w:p>
    <w:p w14:paraId="2097EDD8">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4、由于使用、保管不当，造成出租方消防设施损坏、丢失的必须负责修复或赔偿。</w:t>
      </w:r>
    </w:p>
    <w:p w14:paraId="23E45D72">
      <w:pPr>
        <w:pStyle w:val="2"/>
        <w:spacing w:line="500" w:lineRule="exact"/>
        <w:rPr>
          <w:rFonts w:ascii="仿宋_GB2312" w:hAnsi="仿宋_GB2312" w:eastAsia="仿宋_GB2312" w:cs="仿宋_GB2312"/>
          <w:szCs w:val="24"/>
        </w:rPr>
      </w:pPr>
      <w:r>
        <w:rPr>
          <w:rFonts w:hint="eastAsia" w:ascii="仿宋_GB2312" w:hAnsi="仿宋_GB2312" w:eastAsia="仿宋_GB2312" w:cs="仿宋_GB2312"/>
          <w:szCs w:val="24"/>
        </w:rPr>
        <w:t xml:space="preserve">    5、承租房产的单位(个人)应确保疏散通道、安全出口畅通，并设置符合国家规定的消防应急照明和消防安全疏散指示标志。</w:t>
      </w:r>
    </w:p>
    <w:p w14:paraId="69A8782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6、承租房产作为公共娱乐场所的单位(个人)消防安全管理工作，应严格执行公安部发布的《公共娱乐场所消防安全管理规定》。</w:t>
      </w:r>
    </w:p>
    <w:p w14:paraId="1F0E040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7、承租房产的单位(个人)对消防安全管理工作，应严格执行《中华人民共和国消防法》、《厦门市消防条例》等相关规定。</w:t>
      </w:r>
    </w:p>
    <w:p w14:paraId="47C06D17">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8、承租单位(个人)应加强安全用电管理，承租方必须配备专(兼)职持证电工；对租赁范围内水电设施设备应经常检查，防止导线、管道及水电设施设备老化、超载、带病运行引发事故，若在租赁期间内引发安全事故（含火灾等），乙方应承担一切赔偿责任和法律责任，且甲方有权终止租赁合同。</w:t>
      </w:r>
    </w:p>
    <w:p w14:paraId="533E6E6C">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9、承租单位(个人)必须依照政府有关部门的规定办好居住证、计生审检证等证件。</w:t>
      </w:r>
    </w:p>
    <w:p w14:paraId="55B1AC12">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10、承租单位(个人)必须严格遵守《治安管理条例》，严禁在租赁场所内赌博、嫖娼、酗酒、打架斗殴、扰乱公共秩序。</w:t>
      </w:r>
    </w:p>
    <w:p w14:paraId="720E225B">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11、承租房产范围内不得存在“三合一”即厂房、仓库（包括店面、办公）、宿舍合为一体；不得明火作业，如需电、气焊，必须征得甲方同意，并清理现场直径５米范围内的可燃物，派专人、专职监护；工作结束后应认真仔细清理现场，确认已无火险隐患，方可离开现场。</w:t>
      </w:r>
    </w:p>
    <w:p w14:paraId="1CDEB718">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12、乙方在租赁期内应加强安全生产经营管理，若存在安全隐患，必须及时整改，若经市、区安全检查部门或消防部门以及甲方发出安全隐患整改通知后，乙方必须认真按通知书的要求进行整改，如拒绝整改或整改不到位，甲方有权终止本合同。</w:t>
      </w:r>
    </w:p>
    <w:p w14:paraId="3B37C80E">
      <w:pPr>
        <w:pStyle w:val="2"/>
        <w:spacing w:line="500" w:lineRule="exact"/>
        <w:ind w:firstLine="480" w:firstLineChars="200"/>
        <w:rPr>
          <w:rFonts w:ascii="仿宋_GB2312" w:hAnsi="仿宋_GB2312" w:eastAsia="仿宋_GB2312" w:cs="仿宋_GB2312"/>
          <w:szCs w:val="24"/>
        </w:rPr>
      </w:pPr>
      <w:r>
        <w:rPr>
          <w:rFonts w:hint="eastAsia" w:ascii="仿宋_GB2312" w:hAnsi="仿宋_GB2312" w:eastAsia="仿宋_GB2312" w:cs="仿宋_GB2312"/>
          <w:szCs w:val="24"/>
        </w:rPr>
        <w:t>三、本责任书作租赁合同的附件，具有同等法律效力，双方应明确责任，共同遵守，经双方签字(盖章)后生效，本责任书壹式叁份，甲方执贰份，乙方执壹份。</w:t>
      </w:r>
    </w:p>
    <w:p w14:paraId="0AB1653D">
      <w:pPr>
        <w:pStyle w:val="2"/>
        <w:spacing w:line="400" w:lineRule="exact"/>
        <w:rPr>
          <w:rFonts w:ascii="仿宋" w:hAnsi="仿宋" w:eastAsia="仿宋"/>
          <w:sz w:val="28"/>
          <w:szCs w:val="28"/>
        </w:rPr>
      </w:pPr>
    </w:p>
    <w:p w14:paraId="5051F37C">
      <w:pPr>
        <w:pStyle w:val="2"/>
        <w:spacing w:line="400" w:lineRule="exact"/>
        <w:rPr>
          <w:rFonts w:ascii="仿宋" w:hAnsi="仿宋" w:eastAsia="仿宋"/>
          <w:sz w:val="28"/>
          <w:szCs w:val="28"/>
        </w:rPr>
      </w:pPr>
      <w:r>
        <w:rPr>
          <w:rFonts w:hint="eastAsia" w:ascii="仿宋" w:hAnsi="仿宋" w:eastAsia="仿宋"/>
          <w:sz w:val="28"/>
          <w:szCs w:val="28"/>
        </w:rPr>
        <w:t>甲方：厦门市健益发展有限公司</w:t>
      </w:r>
      <w:r>
        <w:rPr>
          <w:rFonts w:ascii="仿宋" w:hAnsi="仿宋" w:eastAsia="仿宋"/>
          <w:sz w:val="28"/>
          <w:szCs w:val="28"/>
        </w:rPr>
        <w:t xml:space="preserve">    </w:t>
      </w:r>
      <w:r>
        <w:rPr>
          <w:rFonts w:hint="eastAsia" w:ascii="仿宋" w:hAnsi="仿宋" w:eastAsia="仿宋"/>
          <w:sz w:val="28"/>
          <w:szCs w:val="28"/>
        </w:rPr>
        <w:t>乙方：</w:t>
      </w:r>
    </w:p>
    <w:p w14:paraId="32BE6A11">
      <w:pPr>
        <w:pStyle w:val="2"/>
        <w:spacing w:line="400" w:lineRule="exact"/>
        <w:rPr>
          <w:rFonts w:ascii="仿宋" w:hAnsi="仿宋" w:eastAsia="仿宋"/>
          <w:sz w:val="28"/>
          <w:szCs w:val="28"/>
        </w:rPr>
      </w:pPr>
    </w:p>
    <w:p w14:paraId="34E42ACB">
      <w:pPr>
        <w:pStyle w:val="2"/>
        <w:spacing w:line="4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身份证号：</w:t>
      </w:r>
    </w:p>
    <w:p w14:paraId="452929C0">
      <w:pPr>
        <w:pStyle w:val="2"/>
        <w:spacing w:line="400" w:lineRule="exact"/>
        <w:rPr>
          <w:rFonts w:ascii="仿宋" w:hAnsi="仿宋" w:eastAsia="仿宋"/>
          <w:sz w:val="28"/>
          <w:szCs w:val="28"/>
        </w:rPr>
      </w:pPr>
      <w:r>
        <w:rPr>
          <w:rFonts w:hint="eastAsia" w:ascii="仿宋" w:hAnsi="仿宋" w:eastAsia="仿宋"/>
          <w:sz w:val="28"/>
          <w:szCs w:val="28"/>
        </w:rPr>
        <w:t>授权代表：</w:t>
      </w:r>
      <w:r>
        <w:rPr>
          <w:rFonts w:ascii="仿宋" w:hAnsi="仿宋" w:eastAsia="仿宋"/>
          <w:sz w:val="28"/>
          <w:szCs w:val="28"/>
        </w:rPr>
        <w:t xml:space="preserve">                      </w:t>
      </w:r>
      <w:r>
        <w:rPr>
          <w:rFonts w:hint="eastAsia" w:ascii="仿宋" w:hAnsi="仿宋" w:eastAsia="仿宋"/>
          <w:sz w:val="28"/>
          <w:szCs w:val="28"/>
        </w:rPr>
        <w:t>授权代表：</w:t>
      </w:r>
    </w:p>
    <w:p w14:paraId="500C24C9">
      <w:pPr>
        <w:pStyle w:val="2"/>
        <w:spacing w:line="400" w:lineRule="exact"/>
        <w:ind w:firstLine="3080" w:firstLineChars="1100"/>
        <w:rPr>
          <w:rFonts w:ascii="仿宋" w:hAnsi="仿宋" w:eastAsia="仿宋"/>
          <w:sz w:val="30"/>
          <w:szCs w:val="30"/>
        </w:rPr>
      </w:pPr>
      <w:r>
        <w:rPr>
          <w:rFonts w:ascii="仿宋" w:hAnsi="仿宋" w:eastAsia="仿宋"/>
          <w:sz w:val="28"/>
          <w:szCs w:val="28"/>
        </w:rPr>
        <w:t xml:space="preserve"> </w:t>
      </w: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月</w:t>
      </w:r>
      <w:r>
        <w:rPr>
          <w:rFonts w:ascii="仿宋" w:hAnsi="仿宋" w:eastAsia="仿宋"/>
          <w:sz w:val="28"/>
          <w:szCs w:val="28"/>
        </w:rPr>
        <w:t xml:space="preserve">   </w:t>
      </w:r>
      <w:r>
        <w:rPr>
          <w:rFonts w:hint="eastAsia" w:ascii="仿宋" w:hAnsi="仿宋" w:eastAsia="仿宋"/>
          <w:sz w:val="28"/>
          <w:szCs w:val="28"/>
        </w:rPr>
        <w:t>日</w:t>
      </w:r>
    </w:p>
    <w:p w14:paraId="13093447">
      <w:pPr>
        <w:jc w:val="center"/>
        <w:rPr>
          <w:rFonts w:hint="eastAsia" w:ascii="宋体" w:hAnsi="宋体"/>
          <w:b/>
          <w:bCs/>
          <w:sz w:val="36"/>
          <w:szCs w:val="36"/>
        </w:rPr>
      </w:pPr>
    </w:p>
    <w:p w14:paraId="7F88BE6C">
      <w:pPr>
        <w:jc w:val="center"/>
        <w:rPr>
          <w:rFonts w:hint="eastAsia" w:ascii="宋体" w:hAnsi="宋体"/>
          <w:b/>
          <w:bCs/>
          <w:sz w:val="36"/>
          <w:szCs w:val="36"/>
        </w:rPr>
      </w:pPr>
    </w:p>
    <w:p w14:paraId="66D01D79">
      <w:pPr>
        <w:jc w:val="center"/>
        <w:rPr>
          <w:rFonts w:ascii="宋体" w:hAnsi="宋体"/>
          <w:b/>
          <w:bCs/>
          <w:sz w:val="36"/>
          <w:szCs w:val="36"/>
        </w:rPr>
      </w:pPr>
      <w:r>
        <w:rPr>
          <w:rFonts w:hint="eastAsia" w:ascii="宋体" w:hAnsi="宋体"/>
          <w:b/>
          <w:bCs/>
          <w:sz w:val="36"/>
          <w:szCs w:val="36"/>
        </w:rPr>
        <w:t>“门前三包”责任书</w:t>
      </w:r>
    </w:p>
    <w:p w14:paraId="4E8C8295">
      <w:pPr>
        <w:spacing w:line="240" w:lineRule="exact"/>
        <w:jc w:val="center"/>
        <w:rPr>
          <w:rFonts w:ascii="仿宋" w:hAnsi="仿宋" w:eastAsia="仿宋"/>
          <w:b/>
          <w:bCs/>
          <w:sz w:val="44"/>
          <w:szCs w:val="44"/>
        </w:rPr>
      </w:pPr>
    </w:p>
    <w:p w14:paraId="24628856">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厦门市人民政府关于印发厦门市沿街单位市容环境卫生责任区制度管理办法的通知》等有关文件规定，为加强市容环境卫生管理，进一步落实“门前三包”制度，创造文明、优美、整洁的经营环境，带动“金边”项目商业繁荣，特制定本责任书。</w:t>
      </w:r>
    </w:p>
    <w:p w14:paraId="069158A5">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一、责任范围：责任人租赁（承包）经营管理场所（地）的临街建筑物外立面和相应的人行道、绿化地、空旷地、人行道边沿的台阶及水沟等区域。</w:t>
      </w:r>
    </w:p>
    <w:p w14:paraId="5D98C87E">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二、责任人负责责任范围内的环境卫生(简称包卫生)、市容环境秩序(简称包秩序)和绿化(简称包绿化)的维护与管理。具体内容与要求：</w:t>
      </w:r>
    </w:p>
    <w:p w14:paraId="6B99A43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包卫生：保持责任范围内的地面无痰迹、口香糖等污垢，无垃圾袋、纸屑等废弃物、无污水溢流、无蚊蝇孳生地、无卫生死角；路面、台阶、路沿、路肩、水沟、沟井口和花坛、树穴、绿地及遮阳棚顶部整洁干净；自备足够的垃圾分类收集容器收集垃圾，并放置于适当位置。</w:t>
      </w:r>
    </w:p>
    <w:p w14:paraId="1C35E40D">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包秩序：维持责任范围内的临街建筑物外立面、阳台等整洁美观、无污迹，商业橱窗摆设整齐，门牌号、门前广告招牌、夜景灯光、遮阳（雨）棚、空调室外机和排水（气）管等户外设施按要求设置，并随时保持完好和整洁；门牌号、门前广告招牌文字规范，无错、缺字现象；户外无擅自修建的水龙头和水池；无擅自修筑的连街斜道、无乱摆摊设点、跨店及超过核定面积占道经营问题；无乱张贴、乱涂写、乱悬挂、乱堆放、乱挖占、乱搭建、乱竖杆牌、乱停放车辆等影响市容观瞻和管理不规范的行为。</w:t>
      </w:r>
    </w:p>
    <w:p w14:paraId="19FFD80A">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包绿化：负责责任区范围内的花草树木生长良好，维护绿化设施完好、无损坏；及时制止和劝阻践踏草坪、攀折树木、刻划树木、借助树木搭棚和悬挂物品、损坏花草树木和绿化设施等行为；无擅自占用、人为损坏绿地的行为。责任人必须认真履行责任书明确的职责，保证责任范围的环境卫生、市容秩序和绿化管理达到规定标准。</w:t>
      </w:r>
    </w:p>
    <w:p w14:paraId="50FC7C64">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三、责任人对责任范围内发生的违章行为应当及时予以劝阻和制止，劝阻和制止无效的，应及时向有关行政执法部门报告。</w:t>
      </w:r>
    </w:p>
    <w:p w14:paraId="4210545F">
      <w:pPr>
        <w:adjustRightInd w:val="0"/>
        <w:snapToGrid w:val="0"/>
        <w:spacing w:line="48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责任人应积极主动配合出租方的管理与劝导，在责任人负责的责任区内发生严重违反“门前三包”行为的，出租方有权督促责任人整改，情节严重的，出租方有权中止租赁合同，产生的损失由责任人自行承担。</w:t>
      </w:r>
    </w:p>
    <w:p w14:paraId="0307AC9B">
      <w:pPr>
        <w:adjustRightInd w:val="0"/>
        <w:snapToGrid w:val="0"/>
        <w:spacing w:line="480" w:lineRule="exact"/>
        <w:ind w:firstLine="480" w:firstLineChars="200"/>
        <w:rPr>
          <w:rFonts w:ascii="仿宋_GB2312" w:hAnsi="仿宋_GB2312" w:eastAsia="仿宋_GB2312" w:cs="仿宋_GB2312"/>
          <w:sz w:val="24"/>
        </w:rPr>
      </w:pPr>
    </w:p>
    <w:p w14:paraId="6C057767">
      <w:pPr>
        <w:adjustRightInd w:val="0"/>
        <w:snapToGrid w:val="0"/>
        <w:spacing w:line="400" w:lineRule="exact"/>
        <w:rPr>
          <w:rFonts w:ascii="仿宋" w:hAnsi="仿宋" w:eastAsia="仿宋" w:cs="宋体"/>
          <w:sz w:val="30"/>
          <w:szCs w:val="30"/>
        </w:rPr>
      </w:pPr>
      <w:r>
        <w:rPr>
          <w:rFonts w:hint="eastAsia" w:ascii="仿宋" w:hAnsi="仿宋" w:eastAsia="仿宋" w:cs="宋体"/>
          <w:sz w:val="24"/>
        </w:rPr>
        <w:t>责任人：（签名）</w:t>
      </w:r>
      <w:r>
        <w:rPr>
          <w:rFonts w:ascii="仿宋" w:hAnsi="仿宋" w:eastAsia="仿宋" w:cs="宋体"/>
          <w:sz w:val="24"/>
        </w:rPr>
        <w:t xml:space="preserve">             </w:t>
      </w:r>
    </w:p>
    <w:p w14:paraId="2B92E008">
      <w:pPr>
        <w:adjustRightInd w:val="0"/>
        <w:snapToGrid w:val="0"/>
        <w:spacing w:line="400" w:lineRule="exact"/>
        <w:rPr>
          <w:rFonts w:ascii="仿宋" w:hAnsi="仿宋" w:eastAsia="仿宋" w:cs="宋体"/>
          <w:sz w:val="30"/>
          <w:szCs w:val="30"/>
        </w:rPr>
      </w:pPr>
      <w:r>
        <w:rPr>
          <w:rFonts w:hint="eastAsia" w:ascii="仿宋" w:hAnsi="仿宋" w:eastAsia="仿宋" w:cs="宋体"/>
          <w:sz w:val="30"/>
          <w:szCs w:val="30"/>
        </w:rPr>
        <w:t>本页无内容</w:t>
      </w:r>
      <w:r>
        <w:rPr>
          <w:rFonts w:ascii="仿宋" w:hAnsi="仿宋" w:eastAsia="仿宋" w:cs="宋体"/>
          <w:sz w:val="30"/>
          <w:szCs w:val="30"/>
        </w:rPr>
        <w:t xml:space="preserve">             </w:t>
      </w:r>
      <w:r>
        <w:rPr>
          <w:rFonts w:hint="eastAsia" w:ascii="仿宋" w:hAnsi="仿宋" w:eastAsia="仿宋" w:cs="宋体"/>
          <w:sz w:val="30"/>
          <w:szCs w:val="30"/>
        </w:rPr>
        <w:t>　</w:t>
      </w:r>
      <w:r>
        <w:rPr>
          <w:rFonts w:ascii="仿宋" w:hAnsi="仿宋" w:eastAsia="仿宋" w:cs="宋体"/>
          <w:sz w:val="30"/>
          <w:szCs w:val="30"/>
        </w:rPr>
        <w:t xml:space="preserve"> </w:t>
      </w:r>
    </w:p>
    <w:p w14:paraId="4169B086">
      <w:pPr>
        <w:widowControl/>
        <w:spacing w:line="760" w:lineRule="exact"/>
        <w:ind w:right="-512" w:rightChars="-244"/>
        <w:jc w:val="center"/>
        <w:rPr>
          <w:rFonts w:ascii="仿宋_GB2312" w:hAnsi="仿宋" w:eastAsia="仿宋_GB2312" w:cs="宋体"/>
          <w:kern w:val="0"/>
          <w:sz w:val="30"/>
          <w:szCs w:val="30"/>
        </w:rPr>
        <w:sectPr>
          <w:footerReference r:id="rId3" w:type="default"/>
          <w:footerReference r:id="rId4" w:type="even"/>
          <w:pgSz w:w="11906" w:h="16838"/>
          <w:pgMar w:top="1020" w:right="1248" w:bottom="478" w:left="1418" w:header="851" w:footer="992" w:gutter="0"/>
          <w:cols w:space="720" w:num="1"/>
          <w:docGrid w:type="lines" w:linePitch="312" w:charSpace="0"/>
        </w:sectPr>
      </w:pPr>
    </w:p>
    <w:tbl>
      <w:tblPr>
        <w:tblStyle w:val="6"/>
        <w:tblW w:w="14725" w:type="dxa"/>
        <w:tblInd w:w="108" w:type="dxa"/>
        <w:tblLayout w:type="autofit"/>
        <w:tblCellMar>
          <w:top w:w="0" w:type="dxa"/>
          <w:left w:w="108" w:type="dxa"/>
          <w:bottom w:w="0" w:type="dxa"/>
          <w:right w:w="108" w:type="dxa"/>
        </w:tblCellMar>
      </w:tblPr>
      <w:tblGrid>
        <w:gridCol w:w="4599"/>
        <w:gridCol w:w="222"/>
        <w:gridCol w:w="6519"/>
        <w:gridCol w:w="2127"/>
        <w:gridCol w:w="1258"/>
      </w:tblGrid>
      <w:tr w14:paraId="149B2250">
        <w:tblPrEx>
          <w:tblCellMar>
            <w:top w:w="0" w:type="dxa"/>
            <w:left w:w="108" w:type="dxa"/>
            <w:bottom w:w="0" w:type="dxa"/>
            <w:right w:w="108" w:type="dxa"/>
          </w:tblCellMar>
        </w:tblPrEx>
        <w:trPr>
          <w:trHeight w:val="702" w:hRule="atLeast"/>
        </w:trPr>
        <w:tc>
          <w:tcPr>
            <w:tcW w:w="14725" w:type="dxa"/>
            <w:gridSpan w:val="5"/>
            <w:tcBorders>
              <w:top w:val="nil"/>
              <w:left w:val="nil"/>
              <w:bottom w:val="nil"/>
              <w:right w:val="nil"/>
            </w:tcBorders>
            <w:shd w:val="clear" w:color="auto" w:fill="auto"/>
            <w:noWrap/>
            <w:vAlign w:val="center"/>
          </w:tcPr>
          <w:p w14:paraId="4FF986A3">
            <w:pPr>
              <w:widowControl/>
              <w:jc w:val="center"/>
              <w:rPr>
                <w:rFonts w:ascii="宋体" w:hAnsi="宋体" w:cs="宋体"/>
                <w:b/>
                <w:bCs/>
                <w:kern w:val="0"/>
                <w:sz w:val="36"/>
                <w:szCs w:val="36"/>
              </w:rPr>
            </w:pPr>
            <w:r>
              <w:rPr>
                <w:rFonts w:hint="eastAsia" w:ascii="宋体" w:hAnsi="宋体" w:cs="宋体"/>
                <w:b/>
                <w:bCs/>
                <w:kern w:val="0"/>
                <w:sz w:val="36"/>
                <w:szCs w:val="36"/>
              </w:rPr>
              <w:t>房产使用权移交确认书</w:t>
            </w:r>
          </w:p>
        </w:tc>
      </w:tr>
      <w:tr w14:paraId="5F2DE30B">
        <w:tblPrEx>
          <w:tblCellMar>
            <w:top w:w="0" w:type="dxa"/>
            <w:left w:w="108" w:type="dxa"/>
            <w:bottom w:w="0" w:type="dxa"/>
            <w:right w:w="108" w:type="dxa"/>
          </w:tblCellMar>
        </w:tblPrEx>
        <w:trPr>
          <w:trHeight w:val="559" w:hRule="atLeast"/>
        </w:trPr>
        <w:tc>
          <w:tcPr>
            <w:tcW w:w="4599" w:type="dxa"/>
            <w:tcBorders>
              <w:top w:val="nil"/>
              <w:left w:val="nil"/>
              <w:bottom w:val="nil"/>
              <w:right w:val="nil"/>
            </w:tcBorders>
            <w:shd w:val="clear" w:color="auto" w:fill="auto"/>
            <w:noWrap/>
            <w:vAlign w:val="center"/>
          </w:tcPr>
          <w:p w14:paraId="3D402152">
            <w:pPr>
              <w:widowControl/>
              <w:jc w:val="center"/>
              <w:rPr>
                <w:rFonts w:ascii="宋体" w:hAnsi="宋体" w:cs="宋体"/>
                <w:b/>
                <w:bCs/>
                <w:kern w:val="0"/>
                <w:sz w:val="36"/>
                <w:szCs w:val="36"/>
              </w:rPr>
            </w:pPr>
          </w:p>
        </w:tc>
        <w:tc>
          <w:tcPr>
            <w:tcW w:w="222" w:type="dxa"/>
            <w:tcBorders>
              <w:top w:val="nil"/>
              <w:left w:val="nil"/>
              <w:bottom w:val="nil"/>
              <w:right w:val="nil"/>
            </w:tcBorders>
            <w:shd w:val="clear" w:color="auto" w:fill="auto"/>
            <w:noWrap/>
            <w:vAlign w:val="center"/>
          </w:tcPr>
          <w:p w14:paraId="59F7FB51">
            <w:pPr>
              <w:widowControl/>
              <w:jc w:val="left"/>
              <w:rPr>
                <w:rFonts w:eastAsia="Times New Roman"/>
                <w:kern w:val="0"/>
                <w:sz w:val="20"/>
                <w:szCs w:val="20"/>
              </w:rPr>
            </w:pPr>
          </w:p>
        </w:tc>
        <w:tc>
          <w:tcPr>
            <w:tcW w:w="9904" w:type="dxa"/>
            <w:gridSpan w:val="3"/>
            <w:tcBorders>
              <w:top w:val="nil"/>
              <w:left w:val="nil"/>
              <w:bottom w:val="single" w:color="auto" w:sz="4" w:space="0"/>
              <w:right w:val="nil"/>
            </w:tcBorders>
            <w:shd w:val="clear" w:color="auto" w:fill="auto"/>
            <w:noWrap/>
            <w:vAlign w:val="center"/>
          </w:tcPr>
          <w:p w14:paraId="797BB9CC">
            <w:pPr>
              <w:widowControl/>
              <w:jc w:val="right"/>
              <w:rPr>
                <w:rFonts w:ascii="仿宋_GB2312" w:hAnsi="仿宋_GB2312" w:eastAsia="仿宋_GB2312" w:cs="宋体"/>
                <w:kern w:val="0"/>
                <w:sz w:val="24"/>
              </w:rPr>
            </w:pPr>
            <w:r>
              <w:rPr>
                <w:rFonts w:hint="eastAsia" w:ascii="仿宋_GB2312" w:hAnsi="仿宋_GB2312" w:eastAsia="仿宋_GB2312" w:cs="宋体"/>
                <w:kern w:val="0"/>
                <w:sz w:val="24"/>
              </w:rPr>
              <w:t xml:space="preserve">移交时间：   年  月  日    </w:t>
            </w:r>
          </w:p>
        </w:tc>
      </w:tr>
      <w:tr w14:paraId="1DECC437">
        <w:tblPrEx>
          <w:tblCellMar>
            <w:top w:w="0" w:type="dxa"/>
            <w:left w:w="108" w:type="dxa"/>
            <w:bottom w:w="0" w:type="dxa"/>
            <w:right w:w="108" w:type="dxa"/>
          </w:tblCellMar>
        </w:tblPrEx>
        <w:trPr>
          <w:trHeight w:val="702" w:hRule="atLeast"/>
        </w:trPr>
        <w:tc>
          <w:tcPr>
            <w:tcW w:w="45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6CEF9">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房屋坐落</w:t>
            </w:r>
          </w:p>
        </w:tc>
        <w:tc>
          <w:tcPr>
            <w:tcW w:w="6741" w:type="dxa"/>
            <w:gridSpan w:val="2"/>
            <w:tcBorders>
              <w:top w:val="single" w:color="auto" w:sz="4" w:space="0"/>
              <w:left w:val="nil"/>
              <w:bottom w:val="single" w:color="auto" w:sz="4" w:space="0"/>
              <w:right w:val="nil"/>
            </w:tcBorders>
            <w:shd w:val="clear" w:color="auto" w:fill="auto"/>
            <w:noWrap/>
            <w:vAlign w:val="center"/>
          </w:tcPr>
          <w:p w14:paraId="6A600FA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2127" w:type="dxa"/>
            <w:tcBorders>
              <w:top w:val="nil"/>
              <w:left w:val="single" w:color="auto" w:sz="4" w:space="0"/>
              <w:bottom w:val="single" w:color="auto" w:sz="4" w:space="0"/>
              <w:right w:val="single" w:color="auto" w:sz="4" w:space="0"/>
            </w:tcBorders>
            <w:shd w:val="clear" w:color="auto" w:fill="auto"/>
            <w:noWrap/>
            <w:vAlign w:val="center"/>
          </w:tcPr>
          <w:p w14:paraId="35A7237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面积（</w:t>
            </w:r>
            <w:r>
              <w:rPr>
                <w:rFonts w:hint="eastAsia" w:ascii="宋体" w:hAnsi="宋体" w:cs="宋体"/>
                <w:kern w:val="0"/>
                <w:sz w:val="24"/>
              </w:rPr>
              <w:t>㎡</w:t>
            </w:r>
            <w:r>
              <w:rPr>
                <w:rFonts w:hint="eastAsia" w:ascii="仿宋_GB2312" w:hAnsi="仿宋_GB2312" w:eastAsia="仿宋_GB2312" w:cs="宋体"/>
                <w:kern w:val="0"/>
                <w:sz w:val="24"/>
              </w:rPr>
              <w:t>）：</w:t>
            </w:r>
          </w:p>
        </w:tc>
        <w:tc>
          <w:tcPr>
            <w:tcW w:w="1258" w:type="dxa"/>
            <w:tcBorders>
              <w:top w:val="nil"/>
              <w:left w:val="nil"/>
              <w:bottom w:val="single" w:color="auto" w:sz="4" w:space="0"/>
              <w:right w:val="single" w:color="auto" w:sz="4" w:space="0"/>
            </w:tcBorders>
            <w:shd w:val="clear" w:color="auto" w:fill="auto"/>
            <w:noWrap/>
            <w:vAlign w:val="center"/>
          </w:tcPr>
          <w:p w14:paraId="44A25DB1">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备注</w:t>
            </w:r>
          </w:p>
        </w:tc>
      </w:tr>
      <w:tr w14:paraId="6707E154">
        <w:tblPrEx>
          <w:tblCellMar>
            <w:top w:w="0" w:type="dxa"/>
            <w:left w:w="108" w:type="dxa"/>
            <w:bottom w:w="0" w:type="dxa"/>
            <w:right w:w="108" w:type="dxa"/>
          </w:tblCellMar>
        </w:tblPrEx>
        <w:trPr>
          <w:trHeight w:val="702" w:hRule="atLeast"/>
        </w:trPr>
        <w:tc>
          <w:tcPr>
            <w:tcW w:w="4599" w:type="dxa"/>
            <w:vMerge w:val="restart"/>
            <w:tcBorders>
              <w:top w:val="nil"/>
              <w:left w:val="single" w:color="auto" w:sz="4" w:space="0"/>
              <w:bottom w:val="single" w:color="000000" w:sz="4" w:space="0"/>
              <w:right w:val="single" w:color="auto" w:sz="4" w:space="0"/>
            </w:tcBorders>
            <w:shd w:val="clear" w:color="auto" w:fill="auto"/>
            <w:noWrap/>
            <w:vAlign w:val="center"/>
          </w:tcPr>
          <w:p w14:paraId="5D3E4F2D">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配套情况</w:t>
            </w:r>
          </w:p>
        </w:tc>
        <w:tc>
          <w:tcPr>
            <w:tcW w:w="8868" w:type="dxa"/>
            <w:gridSpan w:val="3"/>
            <w:tcBorders>
              <w:top w:val="single" w:color="auto" w:sz="4" w:space="0"/>
              <w:left w:val="nil"/>
              <w:bottom w:val="single" w:color="auto" w:sz="4" w:space="0"/>
              <w:right w:val="single" w:color="000000" w:sz="4" w:space="0"/>
            </w:tcBorders>
            <w:shd w:val="clear" w:color="auto" w:fill="auto"/>
            <w:vAlign w:val="center"/>
          </w:tcPr>
          <w:p w14:paraId="160C7531">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主体结构：</w:t>
            </w:r>
          </w:p>
        </w:tc>
        <w:tc>
          <w:tcPr>
            <w:tcW w:w="1258" w:type="dxa"/>
            <w:vMerge w:val="restart"/>
            <w:tcBorders>
              <w:top w:val="nil"/>
              <w:left w:val="single" w:color="auto" w:sz="4" w:space="0"/>
              <w:bottom w:val="single" w:color="000000" w:sz="4" w:space="0"/>
              <w:right w:val="single" w:color="auto" w:sz="4" w:space="0"/>
            </w:tcBorders>
            <w:shd w:val="clear" w:color="auto" w:fill="auto"/>
            <w:vAlign w:val="center"/>
          </w:tcPr>
          <w:p w14:paraId="623B70E2">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r>
      <w:tr w14:paraId="1E754148">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702C2CE8">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218ED0C5">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门：                              ；窗：</w:t>
            </w:r>
          </w:p>
        </w:tc>
        <w:tc>
          <w:tcPr>
            <w:tcW w:w="1258" w:type="dxa"/>
            <w:vMerge w:val="continue"/>
            <w:tcBorders>
              <w:top w:val="nil"/>
              <w:left w:val="single" w:color="auto" w:sz="4" w:space="0"/>
              <w:bottom w:val="single" w:color="000000" w:sz="4" w:space="0"/>
              <w:right w:val="single" w:color="auto" w:sz="4" w:space="0"/>
            </w:tcBorders>
            <w:vAlign w:val="center"/>
          </w:tcPr>
          <w:p w14:paraId="4355F033">
            <w:pPr>
              <w:widowControl/>
              <w:jc w:val="left"/>
              <w:rPr>
                <w:rFonts w:ascii="仿宋_GB2312" w:hAnsi="仿宋_GB2312" w:eastAsia="仿宋_GB2312" w:cs="宋体"/>
                <w:kern w:val="0"/>
                <w:sz w:val="24"/>
              </w:rPr>
            </w:pPr>
          </w:p>
        </w:tc>
      </w:tr>
      <w:tr w14:paraId="1BD7D72E">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561CA34E">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7BDBE589">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用水：                            ；用电：</w:t>
            </w:r>
          </w:p>
        </w:tc>
        <w:tc>
          <w:tcPr>
            <w:tcW w:w="1258" w:type="dxa"/>
            <w:vMerge w:val="continue"/>
            <w:tcBorders>
              <w:top w:val="nil"/>
              <w:left w:val="single" w:color="auto" w:sz="4" w:space="0"/>
              <w:bottom w:val="single" w:color="000000" w:sz="4" w:space="0"/>
              <w:right w:val="single" w:color="auto" w:sz="4" w:space="0"/>
            </w:tcBorders>
            <w:vAlign w:val="center"/>
          </w:tcPr>
          <w:p w14:paraId="300F3971">
            <w:pPr>
              <w:widowControl/>
              <w:jc w:val="left"/>
              <w:rPr>
                <w:rFonts w:ascii="仿宋_GB2312" w:hAnsi="仿宋_GB2312" w:eastAsia="仿宋_GB2312" w:cs="宋体"/>
                <w:kern w:val="0"/>
                <w:sz w:val="24"/>
              </w:rPr>
            </w:pPr>
          </w:p>
        </w:tc>
      </w:tr>
      <w:tr w14:paraId="61E65BA9">
        <w:tblPrEx>
          <w:tblCellMar>
            <w:top w:w="0" w:type="dxa"/>
            <w:left w:w="108" w:type="dxa"/>
            <w:bottom w:w="0" w:type="dxa"/>
            <w:right w:w="108" w:type="dxa"/>
          </w:tblCellMar>
        </w:tblPrEx>
        <w:trPr>
          <w:trHeight w:val="702" w:hRule="atLeast"/>
        </w:trPr>
        <w:tc>
          <w:tcPr>
            <w:tcW w:w="4599" w:type="dxa"/>
            <w:vMerge w:val="continue"/>
            <w:tcBorders>
              <w:top w:val="nil"/>
              <w:left w:val="single" w:color="auto" w:sz="4" w:space="0"/>
              <w:bottom w:val="single" w:color="000000" w:sz="4" w:space="0"/>
              <w:right w:val="single" w:color="auto" w:sz="4" w:space="0"/>
            </w:tcBorders>
            <w:shd w:val="clear" w:color="auto" w:fill="auto"/>
            <w:vAlign w:val="center"/>
          </w:tcPr>
          <w:p w14:paraId="0E052BF1">
            <w:pPr>
              <w:widowControl/>
              <w:jc w:val="left"/>
              <w:rPr>
                <w:rFonts w:ascii="仿宋_GB2312" w:hAnsi="仿宋_GB2312" w:eastAsia="仿宋_GB2312" w:cs="宋体"/>
                <w:kern w:val="0"/>
                <w:sz w:val="24"/>
              </w:rPr>
            </w:pPr>
          </w:p>
        </w:tc>
        <w:tc>
          <w:tcPr>
            <w:tcW w:w="8868" w:type="dxa"/>
            <w:gridSpan w:val="3"/>
            <w:tcBorders>
              <w:top w:val="single" w:color="auto" w:sz="4" w:space="0"/>
              <w:left w:val="nil"/>
              <w:bottom w:val="single" w:color="auto" w:sz="4" w:space="0"/>
              <w:right w:val="nil"/>
            </w:tcBorders>
            <w:shd w:val="clear" w:color="auto" w:fill="auto"/>
            <w:vAlign w:val="center"/>
          </w:tcPr>
          <w:p w14:paraId="0ACD98CF">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卫生：</w:t>
            </w:r>
          </w:p>
        </w:tc>
        <w:tc>
          <w:tcPr>
            <w:tcW w:w="1258" w:type="dxa"/>
            <w:vMerge w:val="continue"/>
            <w:tcBorders>
              <w:top w:val="nil"/>
              <w:left w:val="single" w:color="auto" w:sz="4" w:space="0"/>
              <w:bottom w:val="single" w:color="000000" w:sz="4" w:space="0"/>
              <w:right w:val="single" w:color="auto" w:sz="4" w:space="0"/>
            </w:tcBorders>
            <w:vAlign w:val="center"/>
          </w:tcPr>
          <w:p w14:paraId="4C4F639B">
            <w:pPr>
              <w:widowControl/>
              <w:jc w:val="left"/>
              <w:rPr>
                <w:rFonts w:ascii="仿宋_GB2312" w:hAnsi="仿宋_GB2312" w:eastAsia="仿宋_GB2312" w:cs="宋体"/>
                <w:kern w:val="0"/>
                <w:sz w:val="24"/>
              </w:rPr>
            </w:pPr>
          </w:p>
        </w:tc>
      </w:tr>
      <w:tr w14:paraId="5DCF3916">
        <w:tblPrEx>
          <w:tblCellMar>
            <w:top w:w="0" w:type="dxa"/>
            <w:left w:w="108" w:type="dxa"/>
            <w:bottom w:w="0" w:type="dxa"/>
            <w:right w:w="108" w:type="dxa"/>
          </w:tblCellMar>
        </w:tblPrEx>
        <w:trPr>
          <w:trHeight w:val="702" w:hRule="atLeast"/>
        </w:trPr>
        <w:tc>
          <w:tcPr>
            <w:tcW w:w="4599" w:type="dxa"/>
            <w:tcBorders>
              <w:top w:val="nil"/>
              <w:left w:val="single" w:color="auto" w:sz="4" w:space="0"/>
              <w:bottom w:val="single" w:color="auto" w:sz="4" w:space="0"/>
              <w:right w:val="single" w:color="auto" w:sz="4" w:space="0"/>
            </w:tcBorders>
            <w:shd w:val="clear" w:color="auto" w:fill="auto"/>
            <w:vAlign w:val="center"/>
          </w:tcPr>
          <w:p w14:paraId="17E62338">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其他</w:t>
            </w:r>
          </w:p>
        </w:tc>
        <w:tc>
          <w:tcPr>
            <w:tcW w:w="8868" w:type="dxa"/>
            <w:gridSpan w:val="3"/>
            <w:tcBorders>
              <w:top w:val="single" w:color="auto" w:sz="4" w:space="0"/>
              <w:left w:val="nil"/>
              <w:bottom w:val="single" w:color="auto" w:sz="4" w:space="0"/>
              <w:right w:val="nil"/>
            </w:tcBorders>
            <w:shd w:val="clear" w:color="auto" w:fill="auto"/>
            <w:noWrap/>
            <w:vAlign w:val="center"/>
          </w:tcPr>
          <w:p w14:paraId="6302863F">
            <w:pPr>
              <w:widowControl/>
              <w:jc w:val="center"/>
              <w:rPr>
                <w:rFonts w:ascii="仿宋_GB2312" w:hAnsi="仿宋_GB2312" w:eastAsia="仿宋_GB2312" w:cs="宋体"/>
                <w:kern w:val="0"/>
                <w:sz w:val="24"/>
              </w:rPr>
            </w:pPr>
            <w:r>
              <w:rPr>
                <w:rFonts w:hint="eastAsia" w:ascii="仿宋_GB2312" w:hAnsi="仿宋_GB2312" w:eastAsia="仿宋_GB2312" w:cs="宋体"/>
                <w:kern w:val="0"/>
                <w:sz w:val="24"/>
              </w:rPr>
              <w:t>　</w:t>
            </w:r>
          </w:p>
        </w:tc>
        <w:tc>
          <w:tcPr>
            <w:tcW w:w="1258" w:type="dxa"/>
            <w:vMerge w:val="continue"/>
            <w:tcBorders>
              <w:top w:val="nil"/>
              <w:left w:val="single" w:color="auto" w:sz="4" w:space="0"/>
              <w:bottom w:val="single" w:color="000000" w:sz="4" w:space="0"/>
              <w:right w:val="single" w:color="auto" w:sz="4" w:space="0"/>
            </w:tcBorders>
            <w:vAlign w:val="center"/>
          </w:tcPr>
          <w:p w14:paraId="5248045E">
            <w:pPr>
              <w:widowControl/>
              <w:jc w:val="left"/>
              <w:rPr>
                <w:rFonts w:ascii="仿宋_GB2312" w:hAnsi="仿宋_GB2312" w:eastAsia="仿宋_GB2312" w:cs="宋体"/>
                <w:kern w:val="0"/>
                <w:sz w:val="24"/>
              </w:rPr>
            </w:pPr>
          </w:p>
        </w:tc>
      </w:tr>
      <w:tr w14:paraId="76E5737A">
        <w:tblPrEx>
          <w:tblCellMar>
            <w:top w:w="0" w:type="dxa"/>
            <w:left w:w="108" w:type="dxa"/>
            <w:bottom w:w="0" w:type="dxa"/>
            <w:right w:w="108" w:type="dxa"/>
          </w:tblCellMar>
        </w:tblPrEx>
        <w:trPr>
          <w:trHeight w:val="420" w:hRule="atLeast"/>
        </w:trPr>
        <w:tc>
          <w:tcPr>
            <w:tcW w:w="4599" w:type="dxa"/>
            <w:tcBorders>
              <w:top w:val="nil"/>
              <w:left w:val="nil"/>
              <w:bottom w:val="nil"/>
              <w:right w:val="nil"/>
            </w:tcBorders>
            <w:shd w:val="clear" w:color="auto" w:fill="auto"/>
            <w:noWrap/>
            <w:vAlign w:val="center"/>
          </w:tcPr>
          <w:p w14:paraId="381FF4A3">
            <w:pPr>
              <w:widowControl/>
              <w:jc w:val="center"/>
              <w:rPr>
                <w:rFonts w:ascii="仿宋_GB2312" w:hAnsi="仿宋_GB2312" w:eastAsia="仿宋_GB2312" w:cs="宋体"/>
                <w:kern w:val="0"/>
                <w:sz w:val="24"/>
              </w:rPr>
            </w:pPr>
          </w:p>
        </w:tc>
        <w:tc>
          <w:tcPr>
            <w:tcW w:w="222" w:type="dxa"/>
            <w:tcBorders>
              <w:top w:val="nil"/>
              <w:left w:val="nil"/>
              <w:bottom w:val="nil"/>
              <w:right w:val="nil"/>
            </w:tcBorders>
            <w:shd w:val="clear" w:color="auto" w:fill="auto"/>
            <w:noWrap/>
            <w:vAlign w:val="center"/>
          </w:tcPr>
          <w:p w14:paraId="706FE4A2">
            <w:pPr>
              <w:widowControl/>
              <w:jc w:val="center"/>
              <w:rPr>
                <w:rFonts w:eastAsia="Times New Roman"/>
                <w:kern w:val="0"/>
                <w:sz w:val="20"/>
                <w:szCs w:val="20"/>
              </w:rPr>
            </w:pPr>
          </w:p>
        </w:tc>
        <w:tc>
          <w:tcPr>
            <w:tcW w:w="6519" w:type="dxa"/>
            <w:tcBorders>
              <w:top w:val="nil"/>
              <w:left w:val="nil"/>
              <w:bottom w:val="nil"/>
              <w:right w:val="nil"/>
            </w:tcBorders>
            <w:shd w:val="clear" w:color="auto" w:fill="auto"/>
            <w:noWrap/>
            <w:vAlign w:val="center"/>
          </w:tcPr>
          <w:p w14:paraId="0480C509">
            <w:pPr>
              <w:widowControl/>
              <w:jc w:val="center"/>
              <w:rPr>
                <w:rFonts w:eastAsia="Times New Roman"/>
                <w:kern w:val="0"/>
                <w:sz w:val="20"/>
                <w:szCs w:val="20"/>
              </w:rPr>
            </w:pPr>
          </w:p>
        </w:tc>
        <w:tc>
          <w:tcPr>
            <w:tcW w:w="2127" w:type="dxa"/>
            <w:tcBorders>
              <w:top w:val="nil"/>
              <w:left w:val="nil"/>
              <w:bottom w:val="nil"/>
              <w:right w:val="nil"/>
            </w:tcBorders>
            <w:shd w:val="clear" w:color="auto" w:fill="auto"/>
            <w:noWrap/>
            <w:vAlign w:val="center"/>
          </w:tcPr>
          <w:p w14:paraId="5838A343">
            <w:pPr>
              <w:widowControl/>
              <w:jc w:val="center"/>
              <w:rPr>
                <w:rFonts w:eastAsia="Times New Roman"/>
                <w:kern w:val="0"/>
                <w:sz w:val="20"/>
                <w:szCs w:val="20"/>
              </w:rPr>
            </w:pPr>
          </w:p>
        </w:tc>
        <w:tc>
          <w:tcPr>
            <w:tcW w:w="1258" w:type="dxa"/>
            <w:tcBorders>
              <w:top w:val="nil"/>
              <w:left w:val="nil"/>
              <w:bottom w:val="nil"/>
              <w:right w:val="nil"/>
            </w:tcBorders>
            <w:shd w:val="clear" w:color="auto" w:fill="auto"/>
            <w:vAlign w:val="center"/>
          </w:tcPr>
          <w:p w14:paraId="238489D7">
            <w:pPr>
              <w:widowControl/>
              <w:jc w:val="center"/>
              <w:rPr>
                <w:rFonts w:eastAsia="Times New Roman"/>
                <w:kern w:val="0"/>
                <w:sz w:val="20"/>
                <w:szCs w:val="20"/>
              </w:rPr>
            </w:pPr>
          </w:p>
        </w:tc>
      </w:tr>
      <w:tr w14:paraId="6E04C82B">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78495D9D">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移交方:厦门市健益发展有限公司   </w:t>
            </w:r>
          </w:p>
        </w:tc>
        <w:tc>
          <w:tcPr>
            <w:tcW w:w="9904" w:type="dxa"/>
            <w:gridSpan w:val="3"/>
            <w:tcBorders>
              <w:top w:val="nil"/>
              <w:left w:val="nil"/>
              <w:bottom w:val="nil"/>
              <w:right w:val="nil"/>
            </w:tcBorders>
            <w:shd w:val="clear" w:color="auto" w:fill="auto"/>
            <w:noWrap/>
            <w:vAlign w:val="center"/>
          </w:tcPr>
          <w:p w14:paraId="68B92A45">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接收方： </w:t>
            </w:r>
          </w:p>
        </w:tc>
      </w:tr>
      <w:tr w14:paraId="1265E494">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02F364FC">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代表签字:                       </w:t>
            </w:r>
          </w:p>
        </w:tc>
        <w:tc>
          <w:tcPr>
            <w:tcW w:w="9904" w:type="dxa"/>
            <w:gridSpan w:val="3"/>
            <w:tcBorders>
              <w:top w:val="nil"/>
              <w:left w:val="nil"/>
              <w:bottom w:val="nil"/>
              <w:right w:val="nil"/>
            </w:tcBorders>
            <w:shd w:val="clear" w:color="auto" w:fill="auto"/>
            <w:noWrap/>
            <w:vAlign w:val="center"/>
          </w:tcPr>
          <w:p w14:paraId="562BC3CF">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代表签字:</w:t>
            </w:r>
          </w:p>
        </w:tc>
      </w:tr>
      <w:tr w14:paraId="7C40CA7C">
        <w:tblPrEx>
          <w:tblCellMar>
            <w:top w:w="0" w:type="dxa"/>
            <w:left w:w="108" w:type="dxa"/>
            <w:bottom w:w="0" w:type="dxa"/>
            <w:right w:w="108" w:type="dxa"/>
          </w:tblCellMar>
        </w:tblPrEx>
        <w:trPr>
          <w:trHeight w:val="702" w:hRule="atLeast"/>
        </w:trPr>
        <w:tc>
          <w:tcPr>
            <w:tcW w:w="4821" w:type="dxa"/>
            <w:gridSpan w:val="2"/>
            <w:tcBorders>
              <w:top w:val="nil"/>
              <w:left w:val="nil"/>
              <w:bottom w:val="nil"/>
              <w:right w:val="nil"/>
            </w:tcBorders>
            <w:shd w:val="clear" w:color="auto" w:fill="auto"/>
            <w:noWrap/>
            <w:vAlign w:val="center"/>
          </w:tcPr>
          <w:p w14:paraId="65279BA4">
            <w:pPr>
              <w:widowControl/>
              <w:jc w:val="left"/>
              <w:rPr>
                <w:rFonts w:ascii="仿宋_GB2312" w:hAnsi="仿宋_GB2312" w:eastAsia="仿宋_GB2312" w:cs="宋体"/>
                <w:kern w:val="0"/>
                <w:sz w:val="24"/>
              </w:rPr>
            </w:pPr>
            <w:r>
              <w:rPr>
                <w:rFonts w:hint="eastAsia" w:ascii="仿宋_GB2312" w:hAnsi="仿宋_GB2312" w:eastAsia="仿宋_GB2312" w:cs="宋体"/>
                <w:kern w:val="0"/>
                <w:sz w:val="24"/>
              </w:rPr>
              <w:t xml:space="preserve">联系电话：7029678             </w:t>
            </w:r>
          </w:p>
        </w:tc>
        <w:tc>
          <w:tcPr>
            <w:tcW w:w="9904" w:type="dxa"/>
            <w:gridSpan w:val="3"/>
            <w:tcBorders>
              <w:top w:val="nil"/>
              <w:left w:val="nil"/>
              <w:bottom w:val="nil"/>
              <w:right w:val="nil"/>
            </w:tcBorders>
            <w:shd w:val="clear" w:color="auto" w:fill="auto"/>
            <w:noWrap/>
            <w:vAlign w:val="center"/>
          </w:tcPr>
          <w:p w14:paraId="1218B399">
            <w:pPr>
              <w:widowControl/>
              <w:ind w:firstLine="3840" w:firstLineChars="1600"/>
              <w:jc w:val="left"/>
              <w:rPr>
                <w:rFonts w:ascii="仿宋_GB2312" w:hAnsi="仿宋_GB2312" w:eastAsia="仿宋_GB2312" w:cs="宋体"/>
                <w:kern w:val="0"/>
                <w:sz w:val="24"/>
              </w:rPr>
            </w:pPr>
            <w:r>
              <w:rPr>
                <w:rFonts w:hint="eastAsia" w:ascii="仿宋_GB2312" w:hAnsi="仿宋_GB2312" w:eastAsia="仿宋_GB2312" w:cs="宋体"/>
                <w:kern w:val="0"/>
                <w:sz w:val="24"/>
              </w:rPr>
              <w:t>联系电话：</w:t>
            </w:r>
          </w:p>
        </w:tc>
      </w:tr>
    </w:tbl>
    <w:p w14:paraId="0CDE5692"/>
    <w:sectPr>
      <w:footerReference r:id="rId5" w:type="default"/>
      <w:footerReference r:id="rId6" w:type="even"/>
      <w:pgSz w:w="16838" w:h="11906" w:orient="landscape"/>
      <w:pgMar w:top="1418" w:right="1020" w:bottom="1418" w:left="85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2B4AB">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10</w:t>
    </w:r>
    <w:r>
      <w:fldChar w:fldCharType="end"/>
    </w:r>
  </w:p>
  <w:p w14:paraId="69FFFDE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EDF2E">
    <w:pPr>
      <w:pStyle w:val="3"/>
      <w:framePr w:wrap="around" w:vAnchor="text" w:hAnchor="margin" w:xAlign="center" w:y="1"/>
      <w:rPr>
        <w:rStyle w:val="8"/>
      </w:rPr>
    </w:pPr>
    <w:r>
      <w:fldChar w:fldCharType="begin"/>
    </w:r>
    <w:r>
      <w:rPr>
        <w:rStyle w:val="8"/>
      </w:rPr>
      <w:instrText xml:space="preserve">PAGE  </w:instrText>
    </w:r>
    <w:r>
      <w:fldChar w:fldCharType="end"/>
    </w:r>
  </w:p>
  <w:p w14:paraId="7697A0D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55AE6">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11</w:t>
    </w:r>
    <w:r>
      <w:fldChar w:fldCharType="end"/>
    </w:r>
  </w:p>
  <w:p w14:paraId="000F877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5BC7E">
    <w:pPr>
      <w:pStyle w:val="3"/>
      <w:framePr w:wrap="around" w:vAnchor="text" w:hAnchor="margin" w:xAlign="center" w:y="1"/>
      <w:rPr>
        <w:rStyle w:val="8"/>
      </w:rPr>
    </w:pPr>
    <w:r>
      <w:fldChar w:fldCharType="begin"/>
    </w:r>
    <w:r>
      <w:rPr>
        <w:rStyle w:val="8"/>
      </w:rPr>
      <w:instrText xml:space="preserve">PAGE  </w:instrText>
    </w:r>
    <w:r>
      <w:fldChar w:fldCharType="end"/>
    </w:r>
  </w:p>
  <w:p w14:paraId="0BBBFEC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12ED4C"/>
    <w:multiLevelType w:val="singleLevel"/>
    <w:tmpl w:val="5E12ED4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77659C1"/>
    <w:rsid w:val="0076554F"/>
    <w:rsid w:val="00B508C7"/>
    <w:rsid w:val="00DD01EF"/>
    <w:rsid w:val="01E33631"/>
    <w:rsid w:val="03DB4771"/>
    <w:rsid w:val="0701218C"/>
    <w:rsid w:val="0E4231EE"/>
    <w:rsid w:val="10453F4C"/>
    <w:rsid w:val="11610F9C"/>
    <w:rsid w:val="161B0F23"/>
    <w:rsid w:val="189E668D"/>
    <w:rsid w:val="1BB90E2F"/>
    <w:rsid w:val="2008396A"/>
    <w:rsid w:val="2020147D"/>
    <w:rsid w:val="21EF4BB4"/>
    <w:rsid w:val="239631F6"/>
    <w:rsid w:val="24997A50"/>
    <w:rsid w:val="28D118A7"/>
    <w:rsid w:val="2BE16DEE"/>
    <w:rsid w:val="2D92328E"/>
    <w:rsid w:val="2F9F15C5"/>
    <w:rsid w:val="39424E2B"/>
    <w:rsid w:val="39FF2184"/>
    <w:rsid w:val="3CF23A9A"/>
    <w:rsid w:val="3F1B4198"/>
    <w:rsid w:val="3F6E78E2"/>
    <w:rsid w:val="4B123E65"/>
    <w:rsid w:val="506B4501"/>
    <w:rsid w:val="51B14C29"/>
    <w:rsid w:val="577659C1"/>
    <w:rsid w:val="57CC1C62"/>
    <w:rsid w:val="5A5C23A0"/>
    <w:rsid w:val="5EDE7D87"/>
    <w:rsid w:val="5FD35A4C"/>
    <w:rsid w:val="60AB5DFE"/>
    <w:rsid w:val="625E6EAC"/>
    <w:rsid w:val="64A84B6A"/>
    <w:rsid w:val="67DA7730"/>
    <w:rsid w:val="6BC227A3"/>
    <w:rsid w:val="6C245870"/>
    <w:rsid w:val="717F18C4"/>
    <w:rsid w:val="71CF3CD4"/>
    <w:rsid w:val="73EA0CFB"/>
    <w:rsid w:val="75EF084A"/>
    <w:rsid w:val="78D9133E"/>
    <w:rsid w:val="7EF24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Title"/>
    <w:basedOn w:val="1"/>
    <w:next w:val="1"/>
    <w:qFormat/>
    <w:uiPriority w:val="0"/>
    <w:pPr>
      <w:spacing w:before="240" w:after="60"/>
      <w:jc w:val="center"/>
      <w:outlineLvl w:val="0"/>
    </w:pPr>
    <w:rPr>
      <w:rFonts w:ascii="Cambria" w:hAnsi="Cambria"/>
      <w:b/>
      <w:bCs/>
      <w:sz w:val="32"/>
      <w:szCs w:val="32"/>
    </w:rPr>
  </w:style>
  <w:style w:type="character" w:styleId="8">
    <w:name w:val="page number"/>
    <w:basedOn w:val="7"/>
    <w:qFormat/>
    <w:uiPriority w:val="0"/>
  </w:style>
  <w:style w:type="character" w:customStyle="1" w:styleId="9">
    <w:name w:val="页眉 Char"/>
    <w:basedOn w:val="7"/>
    <w:link w:val="4"/>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6985</Words>
  <Characters>7065</Characters>
  <Lines>58</Lines>
  <Paragraphs>16</Paragraphs>
  <TotalTime>50</TotalTime>
  <ScaleCrop>false</ScaleCrop>
  <LinksUpToDate>false</LinksUpToDate>
  <CharactersWithSpaces>7971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2021-12-11T02:30:00Z</dcterms:created>
  <dc:creator>Administrator</dc:creator>
  <cp:lastModifiedBy>欢乐豆</cp:lastModifiedBy>
  <cp:lastPrinted>2025-10-11T09:04:08Z</cp:lastPrinted>
  <dcterms:modified xsi:type="dcterms:W3CDTF">2025-10-11T09:06:35Z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eyJoZGlkIjoiYjlhODNjMGExNThjODhhZjgyMGM0ZDgwZTY2YTM3NGEiLCJ1c2VySWQiOiIzODAwMzkwNzYifQ==</vt:lpwstr>
  </property>
  <property fmtid="{D5CDD505-2E9C-101B-9397-08002B2CF9AE}" pid="4" name="ICV">
    <vt:lpwstr>334632727E584BD5A2BDFC9D968C48A7_12</vt:lpwstr>
  </property>
</Properties>
</file>