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886B3">
      <w:pPr>
        <w:widowControl/>
        <w:spacing w:line="580" w:lineRule="exact"/>
        <w:jc w:val="center"/>
        <w:rPr>
          <w:rFonts w:ascii="宋体" w:hAnsi="宋体" w:cs="宋体"/>
          <w:b/>
          <w:kern w:val="0"/>
          <w:sz w:val="36"/>
          <w:szCs w:val="36"/>
        </w:rPr>
      </w:pPr>
      <w:r>
        <w:rPr>
          <w:rFonts w:hint="eastAsia" w:ascii="宋体" w:hAnsi="宋体" w:cs="宋体"/>
          <w:b/>
          <w:kern w:val="0"/>
          <w:sz w:val="36"/>
          <w:szCs w:val="36"/>
        </w:rPr>
        <w:t>房 屋 租 赁 合 同</w:t>
      </w:r>
    </w:p>
    <w:p w14:paraId="001933E3">
      <w:pPr>
        <w:widowControl/>
        <w:spacing w:line="580" w:lineRule="exact"/>
        <w:jc w:val="center"/>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（样稿）</w:t>
      </w:r>
    </w:p>
    <w:p w14:paraId="7D408583">
      <w:pPr>
        <w:widowControl/>
        <w:spacing w:line="520" w:lineRule="exact"/>
        <w:jc w:val="center"/>
        <w:rPr>
          <w:rFonts w:ascii="仿宋_GB2312" w:hAnsi="仿宋" w:eastAsia="仿宋_GB2312" w:cs="宋体"/>
          <w:b/>
          <w:kern w:val="0"/>
          <w:sz w:val="24"/>
        </w:rPr>
      </w:pPr>
      <w:r>
        <w:rPr>
          <w:rFonts w:hint="eastAsia" w:ascii="仿宋_GB2312" w:hAnsi="仿宋" w:eastAsia="仿宋_GB2312" w:cs="宋体"/>
          <w:b/>
          <w:kern w:val="0"/>
          <w:sz w:val="24"/>
        </w:rPr>
        <w:t xml:space="preserve">                                    合同编号</w:t>
      </w:r>
      <w:r>
        <w:rPr>
          <w:rFonts w:hint="eastAsia" w:ascii="仿宋_GB2312" w:hAnsi="仿宋" w:eastAsia="仿宋_GB2312" w:cs="宋体"/>
          <w:b/>
          <w:kern w:val="0"/>
          <w:sz w:val="24"/>
          <w:u w:val="single"/>
        </w:rPr>
        <w:t>JY-R-20250x-00X</w:t>
      </w:r>
    </w:p>
    <w:p w14:paraId="458A0381">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出租方（甲方）：</w:t>
      </w:r>
      <w:r>
        <w:rPr>
          <w:rFonts w:hint="eastAsia" w:ascii="仿宋_GB2312" w:hAnsi="仿宋" w:eastAsia="仿宋_GB2312" w:cs="宋体"/>
          <w:b/>
          <w:bCs/>
          <w:kern w:val="0"/>
          <w:sz w:val="24"/>
        </w:rPr>
        <w:tab/>
      </w:r>
      <w:r>
        <w:rPr>
          <w:rFonts w:hint="eastAsia" w:ascii="仿宋_GB2312" w:hAnsi="仿宋" w:eastAsia="仿宋_GB2312" w:cs="宋体"/>
          <w:b/>
          <w:bCs/>
          <w:kern w:val="0"/>
          <w:sz w:val="24"/>
          <w:u w:val="single"/>
        </w:rPr>
        <w:t>厦门市健益发展有限公司</w:t>
      </w:r>
    </w:p>
    <w:p w14:paraId="1120A77E">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统一社会信用代码：</w:t>
      </w:r>
      <w:r>
        <w:rPr>
          <w:rFonts w:hint="eastAsia" w:ascii="仿宋_GB2312" w:hAnsi="仿宋" w:eastAsia="仿宋_GB2312" w:cs="宋体"/>
          <w:b/>
          <w:bCs/>
          <w:kern w:val="0"/>
          <w:sz w:val="24"/>
          <w:u w:val="single"/>
        </w:rPr>
        <w:t>913502127054947685</w:t>
      </w:r>
    </w:p>
    <w:p w14:paraId="64A6DC73">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住址：</w:t>
      </w:r>
      <w:r>
        <w:rPr>
          <w:rFonts w:hint="eastAsia" w:ascii="仿宋_GB2312" w:hAnsi="仿宋" w:eastAsia="仿宋_GB2312" w:cs="宋体"/>
          <w:b/>
          <w:bCs/>
          <w:kern w:val="0"/>
          <w:sz w:val="24"/>
          <w:u w:val="single"/>
        </w:rPr>
        <w:t>厦门市同安区银湖路体育中心体育馆2号</w:t>
      </w:r>
    </w:p>
    <w:p w14:paraId="7DFE21E8">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联系电话：</w:t>
      </w:r>
      <w:r>
        <w:rPr>
          <w:rFonts w:hint="eastAsia" w:ascii="仿宋_GB2312" w:hAnsi="仿宋" w:eastAsia="仿宋_GB2312" w:cs="宋体"/>
          <w:b/>
          <w:bCs/>
          <w:kern w:val="0"/>
          <w:sz w:val="24"/>
          <w:u w:val="single"/>
        </w:rPr>
        <w:t>0592-7029678</w:t>
      </w:r>
    </w:p>
    <w:p w14:paraId="2137BBCB">
      <w:pPr>
        <w:widowControl/>
        <w:spacing w:line="520" w:lineRule="exact"/>
        <w:ind w:left="-540" w:leftChars="-257" w:right="-512" w:rightChars="-244" w:firstLine="432" w:firstLineChars="180"/>
        <w:jc w:val="left"/>
        <w:rPr>
          <w:rFonts w:ascii="仿宋_GB2312" w:hAnsi="仿宋" w:eastAsia="仿宋_GB2312" w:cs="宋体"/>
          <w:kern w:val="0"/>
          <w:sz w:val="24"/>
          <w:u w:val="single"/>
        </w:rPr>
      </w:pPr>
    </w:p>
    <w:p w14:paraId="56D037E5">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 xml:space="preserve">承租方（乙方） </w:t>
      </w:r>
      <w:r>
        <w:rPr>
          <w:rFonts w:hint="eastAsia" w:ascii="仿宋_GB2312" w:hAnsi="仿宋" w:eastAsia="仿宋_GB2312" w:cs="宋体"/>
          <w:kern w:val="0"/>
          <w:sz w:val="24"/>
        </w:rPr>
        <w:t>：</w:t>
      </w:r>
      <w:r>
        <w:rPr>
          <w:rFonts w:hint="eastAsia" w:ascii="仿宋_GB2312" w:hAnsi="仿宋" w:eastAsia="仿宋_GB2312" w:cs="宋体"/>
          <w:kern w:val="0"/>
          <w:sz w:val="24"/>
          <w:u w:val="single"/>
        </w:rPr>
        <w:t xml:space="preserve">        </w:t>
      </w:r>
      <w:r>
        <w:rPr>
          <w:rFonts w:hint="eastAsia" w:ascii="仿宋" w:hAnsi="仿宋" w:eastAsia="仿宋" w:cs="宋体"/>
          <w:kern w:val="0"/>
          <w:sz w:val="24"/>
          <w:u w:val="single"/>
        </w:rPr>
        <w:t xml:space="preserve">     </w:t>
      </w:r>
      <w:r>
        <w:rPr>
          <w:rFonts w:hint="eastAsia" w:ascii="仿宋_GB2312" w:hAnsi="仿宋" w:eastAsia="仿宋_GB2312" w:cs="宋体"/>
          <w:kern w:val="0"/>
          <w:sz w:val="24"/>
          <w:u w:val="single"/>
        </w:rPr>
        <w:t xml:space="preserve">             </w:t>
      </w:r>
    </w:p>
    <w:p w14:paraId="1E31A2B0">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统一社会信用代码（公民身份证号）</w:t>
      </w:r>
      <w:r>
        <w:rPr>
          <w:rFonts w:hint="eastAsia" w:ascii="仿宋_GB2312" w:hAnsi="仿宋" w:eastAsia="仿宋_GB2312" w:cs="宋体"/>
          <w:kern w:val="0"/>
          <w:sz w:val="24"/>
        </w:rPr>
        <w:t>：</w:t>
      </w:r>
      <w:r>
        <w:rPr>
          <w:rFonts w:hint="eastAsia" w:ascii="仿宋_GB2312" w:hAnsi="仿宋" w:eastAsia="仿宋_GB2312" w:cs="宋体"/>
          <w:kern w:val="0"/>
          <w:sz w:val="24"/>
          <w:u w:val="single"/>
        </w:rPr>
        <w:t xml:space="preserve">                             </w:t>
      </w:r>
    </w:p>
    <w:p w14:paraId="0FA7AE85">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住址：</w:t>
      </w:r>
      <w:r>
        <w:rPr>
          <w:rFonts w:hint="eastAsia" w:ascii="仿宋_GB2312" w:hAnsi="仿宋" w:eastAsia="仿宋_GB2312" w:cs="宋体"/>
          <w:b/>
          <w:bCs/>
          <w:kern w:val="0"/>
          <w:sz w:val="24"/>
          <w:u w:val="single"/>
        </w:rPr>
        <w:t xml:space="preserve">                                       </w:t>
      </w:r>
    </w:p>
    <w:p w14:paraId="3D1FBE33">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联系人：</w:t>
      </w:r>
      <w:r>
        <w:rPr>
          <w:rFonts w:hint="eastAsia" w:ascii="仿宋_GB2312" w:hAnsi="仿宋" w:eastAsia="仿宋_GB2312" w:cs="宋体"/>
          <w:b/>
          <w:bCs/>
          <w:kern w:val="0"/>
          <w:sz w:val="24"/>
          <w:u w:val="single"/>
        </w:rPr>
        <w:t xml:space="preserve">                      </w:t>
      </w:r>
    </w:p>
    <w:p w14:paraId="6F06CF82">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联系电话：</w:t>
      </w:r>
      <w:r>
        <w:rPr>
          <w:rFonts w:hint="eastAsia" w:ascii="仿宋_GB2312" w:hAnsi="仿宋" w:eastAsia="仿宋_GB2312" w:cs="宋体"/>
          <w:b/>
          <w:bCs/>
          <w:kern w:val="0"/>
          <w:sz w:val="24"/>
          <w:u w:val="single"/>
        </w:rPr>
        <w:t xml:space="preserve">                    </w:t>
      </w:r>
    </w:p>
    <w:p w14:paraId="7E114348">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电子邮箱：</w:t>
      </w:r>
      <w:r>
        <w:rPr>
          <w:rFonts w:hint="eastAsia" w:ascii="仿宋_GB2312" w:hAnsi="仿宋" w:eastAsia="仿宋_GB2312" w:cs="宋体"/>
          <w:b/>
          <w:bCs/>
          <w:kern w:val="0"/>
          <w:sz w:val="24"/>
          <w:u w:val="single"/>
          <w:lang w:val="en-US" w:eastAsia="zh-CN"/>
        </w:rPr>
        <w:t xml:space="preserve"> </w:t>
      </w:r>
      <w:r>
        <w:rPr>
          <w:rFonts w:hint="eastAsia" w:ascii="仿宋_GB2312" w:hAnsi="仿宋" w:eastAsia="仿宋_GB2312" w:cs="宋体"/>
          <w:b/>
          <w:bCs/>
          <w:kern w:val="0"/>
          <w:sz w:val="24"/>
          <w:u w:val="single"/>
        </w:rPr>
        <w:t xml:space="preserve">      </w:t>
      </w:r>
      <w:r>
        <w:rPr>
          <w:rFonts w:hint="eastAsia" w:ascii="仿宋_GB2312" w:hAnsi="仿宋" w:eastAsia="仿宋_GB2312" w:cs="宋体"/>
          <w:b/>
          <w:bCs/>
          <w:kern w:val="0"/>
          <w:sz w:val="24"/>
          <w:u w:val="single"/>
          <w:lang w:val="en-US" w:eastAsia="zh-CN"/>
        </w:rPr>
        <w:t xml:space="preserve">         </w:t>
      </w:r>
      <w:r>
        <w:rPr>
          <w:rFonts w:hint="eastAsia" w:ascii="仿宋_GB2312" w:hAnsi="仿宋" w:eastAsia="仿宋_GB2312" w:cs="宋体"/>
          <w:b/>
          <w:bCs/>
          <w:kern w:val="0"/>
          <w:sz w:val="24"/>
          <w:u w:val="single"/>
        </w:rPr>
        <w:t xml:space="preserve">    </w:t>
      </w:r>
    </w:p>
    <w:p w14:paraId="4F9E0303">
      <w:pPr>
        <w:widowControl/>
        <w:spacing w:line="520" w:lineRule="exact"/>
        <w:ind w:left="-540" w:leftChars="-257" w:right="-512" w:rightChars="-244" w:firstLine="434" w:firstLineChars="180"/>
        <w:jc w:val="left"/>
        <w:rPr>
          <w:rFonts w:ascii="仿宋_GB2312" w:hAnsi="仿宋" w:eastAsia="仿宋_GB2312" w:cs="宋体"/>
          <w:b/>
          <w:bCs/>
          <w:kern w:val="0"/>
          <w:sz w:val="24"/>
        </w:rPr>
      </w:pPr>
      <w:r>
        <w:rPr>
          <w:rFonts w:hint="eastAsia" w:ascii="仿宋_GB2312" w:hAnsi="仿宋" w:eastAsia="仿宋_GB2312" w:cs="宋体"/>
          <w:b/>
          <w:bCs/>
          <w:kern w:val="0"/>
          <w:sz w:val="24"/>
        </w:rPr>
        <w:t>传真：</w:t>
      </w:r>
      <w:r>
        <w:rPr>
          <w:rFonts w:hint="eastAsia" w:ascii="仿宋_GB2312" w:hAnsi="仿宋" w:eastAsia="仿宋_GB2312" w:cs="宋体"/>
          <w:b/>
          <w:bCs/>
          <w:kern w:val="0"/>
          <w:sz w:val="24"/>
          <w:u w:val="single"/>
        </w:rPr>
        <w:t xml:space="preserve">                            </w:t>
      </w:r>
      <w:r>
        <w:rPr>
          <w:rFonts w:hint="eastAsia" w:ascii="仿宋_GB2312" w:hAnsi="仿宋" w:eastAsia="仿宋_GB2312" w:cs="宋体"/>
          <w:b/>
          <w:bCs/>
          <w:kern w:val="0"/>
          <w:sz w:val="24"/>
        </w:rPr>
        <w:t xml:space="preserve">                      </w:t>
      </w:r>
    </w:p>
    <w:p w14:paraId="33AE3319">
      <w:pPr>
        <w:widowControl/>
        <w:spacing w:line="520" w:lineRule="exact"/>
        <w:ind w:left="-540" w:leftChars="-257" w:right="-512" w:rightChars="-244" w:firstLine="432" w:firstLineChars="180"/>
        <w:jc w:val="left"/>
        <w:rPr>
          <w:rFonts w:ascii="仿宋_GB2312" w:hAnsi="仿宋" w:eastAsia="仿宋_GB2312" w:cs="宋体"/>
          <w:kern w:val="0"/>
          <w:sz w:val="24"/>
          <w:u w:val="single"/>
        </w:rPr>
      </w:pPr>
    </w:p>
    <w:p w14:paraId="4324F85A">
      <w:pPr>
        <w:widowControl/>
        <w:spacing w:line="520" w:lineRule="exact"/>
        <w:ind w:left="-540" w:leftChars="-257" w:right="-512" w:rightChars="-244" w:firstLine="432" w:firstLineChars="180"/>
        <w:jc w:val="left"/>
        <w:rPr>
          <w:rFonts w:ascii="仿宋_GB2312" w:hAnsi="仿宋" w:eastAsia="仿宋_GB2312" w:cs="宋体"/>
          <w:kern w:val="0"/>
          <w:sz w:val="24"/>
        </w:rPr>
      </w:pPr>
      <w:r>
        <w:rPr>
          <w:rFonts w:hint="eastAsia" w:ascii="仿宋_GB2312" w:hAnsi="仿宋" w:eastAsia="仿宋_GB2312" w:cs="宋体"/>
          <w:kern w:val="0"/>
          <w:sz w:val="24"/>
        </w:rPr>
        <w:t>根据《中华人民共和国</w:t>
      </w:r>
      <w:r>
        <w:rPr>
          <w:rFonts w:hint="eastAsia" w:ascii="仿宋_GB2312" w:hAnsi="仿宋_GB2312" w:eastAsia="仿宋_GB2312" w:cs="仿宋_GB2312"/>
          <w:sz w:val="24"/>
        </w:rPr>
        <w:t>民法典</w:t>
      </w:r>
      <w:r>
        <w:rPr>
          <w:rFonts w:hint="eastAsia" w:ascii="仿宋_GB2312" w:hAnsi="仿宋" w:eastAsia="仿宋_GB2312" w:cs="宋体"/>
          <w:kern w:val="0"/>
          <w:sz w:val="24"/>
        </w:rPr>
        <w:t>》及相关法律法规的规定，乙方对甲方出租的房屋现状已充分了解，自愿承租该房屋，为明确甲、乙双方权利义务，在平等自愿基础上，经协商一致，订立本合同。</w:t>
      </w:r>
      <w:r>
        <w:rPr>
          <w:rFonts w:hint="eastAsia" w:ascii="仿宋_GB2312" w:hAnsi="仿宋" w:eastAsia="仿宋_GB2312" w:cs="宋体"/>
          <w:kern w:val="0"/>
          <w:sz w:val="24"/>
          <w:lang w:val="en-US" w:eastAsia="zh-CN"/>
        </w:rPr>
        <w:t>并根据厦门市同安区财政局关于修订印发规范国有企业资产出租管理指导的通知（厦同财国资【2025】12号）文件精神，结合《厦门同安国有资本控股有限公司关于在当前经济形势下优化资产出租管理措施的通知》（同国控【2025】71号）文件内容，执行关于在当前经济形势下优化资产出租管理措施的方案（厦健益【2025】8号文）签订本合同。</w:t>
      </w:r>
    </w:p>
    <w:p w14:paraId="5E758F83">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 xml:space="preserve">第一条  租赁房屋基本情况 </w:t>
      </w:r>
    </w:p>
    <w:p w14:paraId="15E826D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甲方出租的房屋坐落于</w:t>
      </w:r>
      <w:r>
        <w:rPr>
          <w:rFonts w:hint="eastAsia" w:ascii="仿宋" w:hAnsi="仿宋" w:eastAsia="仿宋" w:cs="宋体"/>
          <w:kern w:val="0"/>
          <w:sz w:val="24"/>
          <w:u w:val="single"/>
        </w:rPr>
        <w:t xml:space="preserve">                                 </w:t>
      </w:r>
      <w:r>
        <w:rPr>
          <w:rFonts w:hint="eastAsia" w:ascii="仿宋_GB2312" w:hAnsi="仿宋" w:eastAsia="仿宋_GB2312" w:cs="宋体"/>
          <w:kern w:val="0"/>
          <w:sz w:val="24"/>
        </w:rPr>
        <w:t>，建筑面积约</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 xml:space="preserve">平方米。   </w:t>
      </w:r>
    </w:p>
    <w:p w14:paraId="780C3E9A">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第二条  房屋租赁期限及用途限制</w:t>
      </w:r>
    </w:p>
    <w:p w14:paraId="503ADC4B">
      <w:pPr>
        <w:widowControl/>
        <w:spacing w:line="520" w:lineRule="exact"/>
        <w:ind w:left="-540" w:leftChars="-257" w:right="-512" w:rightChars="-244" w:firstLine="480" w:firstLineChars="200"/>
        <w:jc w:val="left"/>
        <w:rPr>
          <w:rFonts w:hint="default" w:ascii="仿宋_GB2312" w:hAnsi="仿宋" w:eastAsia="仿宋_GB2312" w:cs="宋体"/>
          <w:kern w:val="0"/>
          <w:sz w:val="24"/>
          <w:lang w:val="en-US" w:eastAsia="zh-CN"/>
        </w:rPr>
      </w:pPr>
      <w:r>
        <w:rPr>
          <w:rFonts w:hint="eastAsia" w:ascii="仿宋_GB2312" w:hAnsi="仿宋" w:eastAsia="仿宋_GB2312" w:cs="宋体"/>
          <w:kern w:val="0"/>
          <w:sz w:val="24"/>
        </w:rPr>
        <w:t>1、房屋租赁期限自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日起至</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_GB2312" w:hAnsi="仿宋" w:eastAsia="仿宋_GB2312" w:cs="宋体"/>
          <w:kern w:val="0"/>
          <w:sz w:val="24"/>
        </w:rPr>
        <w:t>日止。中标后，提供三个月装修期。</w:t>
      </w:r>
      <w:r>
        <w:rPr>
          <w:rFonts w:hint="eastAsia" w:ascii="仿宋_GB2312" w:hAnsi="仿宋" w:eastAsia="仿宋_GB2312" w:cs="宋体"/>
          <w:kern w:val="0"/>
          <w:sz w:val="24"/>
          <w:lang w:val="en-US" w:eastAsia="zh-CN"/>
        </w:rPr>
        <w:t>租金从第四个月算起。</w:t>
      </w:r>
    </w:p>
    <w:p w14:paraId="14AD1E8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2、租赁的房屋用途仅作为</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使用，房产只能按现状进行经营使用，不得另作他用。乙方不得在空地上随意建设、不得违章搭建、从事无照经营或其他违法经营活动。</w:t>
      </w:r>
    </w:p>
    <w:p w14:paraId="00D529A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3、乙方承诺不利用租赁房屋从事</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等在内的</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行业，并采取有效措施使其边界噪声、排放物达到国家规定的环境噪声、排放物的排放标准，经营行为符合《中华人民共和国环境保护法》等法律、法规、规章的规定，厦门经济特区政府另有规定的，从其规定。乙方的经营行为对他人造成危害的，应承担相应的赔偿责任。</w:t>
      </w:r>
    </w:p>
    <w:p w14:paraId="4D9E427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4、原承租人在新一轮未中标或自动放弃承租的，应于新承租人签订合同后十五日内将公司注册地变更完，确保新承租人顺利办理工商登记，并把门牌移交给我司。</w:t>
      </w:r>
    </w:p>
    <w:p w14:paraId="6977A8DE">
      <w:pPr>
        <w:widowControl/>
        <w:spacing w:line="520" w:lineRule="exact"/>
        <w:ind w:left="-540" w:leftChars="-257" w:right="-512" w:rightChars="-244" w:firstLine="480" w:firstLineChars="200"/>
        <w:jc w:val="left"/>
        <w:rPr>
          <w:rFonts w:ascii="仿宋_GB2312" w:hAnsi="仿宋" w:eastAsia="仿宋_GB2312" w:cs="宋体"/>
          <w:kern w:val="0"/>
          <w:sz w:val="24"/>
          <w:u w:val="single"/>
        </w:rPr>
      </w:pPr>
      <w:r>
        <w:rPr>
          <w:rFonts w:hint="eastAsia" w:ascii="仿宋_GB2312" w:hAnsi="仿宋" w:eastAsia="仿宋_GB2312" w:cs="宋体"/>
          <w:kern w:val="0"/>
          <w:sz w:val="24"/>
          <w:u w:val="single"/>
        </w:rPr>
        <w:t>注：店面门口及停车场管理权不属于甲方，有关店面门口及停车场的使用事宜需乙方自行与城投公司或者相关部门协商。</w:t>
      </w:r>
    </w:p>
    <w:p w14:paraId="1D3C27AB">
      <w:pPr>
        <w:widowControl/>
        <w:spacing w:line="520" w:lineRule="exact"/>
        <w:ind w:right="-512" w:rightChars="-244"/>
        <w:jc w:val="left"/>
        <w:rPr>
          <w:rFonts w:ascii="仿宋_GB2312" w:hAnsi="仿宋" w:eastAsia="仿宋_GB2312" w:cs="宋体"/>
          <w:b/>
          <w:bCs/>
          <w:kern w:val="0"/>
          <w:sz w:val="24"/>
        </w:rPr>
      </w:pPr>
      <w:r>
        <w:rPr>
          <w:rFonts w:hint="eastAsia" w:ascii="仿宋_GB2312" w:hAnsi="仿宋" w:eastAsia="仿宋_GB2312" w:cs="宋体"/>
          <w:b/>
          <w:bCs/>
          <w:kern w:val="0"/>
          <w:sz w:val="24"/>
        </w:rPr>
        <w:t>第三条  租赁履行保证金</w:t>
      </w:r>
    </w:p>
    <w:p w14:paraId="65C5EBC0">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合同签订当日，乙方应支付给甲方</w:t>
      </w:r>
      <w:r>
        <w:rPr>
          <w:rFonts w:hint="eastAsia" w:ascii="仿宋_GB2312" w:hAnsi="仿宋" w:eastAsia="仿宋_GB2312" w:cs="宋体"/>
          <w:kern w:val="0"/>
          <w:sz w:val="24"/>
          <w:u w:val="single"/>
          <w:lang w:val="en-US" w:eastAsia="zh-CN"/>
        </w:rPr>
        <w:t>叁</w:t>
      </w:r>
      <w:r>
        <w:rPr>
          <w:rFonts w:hint="eastAsia" w:ascii="仿宋_GB2312" w:hAnsi="仿宋" w:eastAsia="仿宋_GB2312" w:cs="宋体"/>
          <w:kern w:val="0"/>
          <w:sz w:val="24"/>
        </w:rPr>
        <w:t>个月的租金人民币</w:t>
      </w:r>
      <w:r>
        <w:rPr>
          <w:rFonts w:hint="eastAsia" w:ascii="仿宋" w:hAnsi="仿宋" w:eastAsia="仿宋" w:cs="宋体"/>
          <w:kern w:val="0"/>
          <w:sz w:val="24"/>
          <w:u w:val="single"/>
        </w:rPr>
        <w:t xml:space="preserve">          </w:t>
      </w:r>
      <w:r>
        <w:rPr>
          <w:rFonts w:hint="eastAsia" w:ascii="仿宋" w:hAnsi="仿宋" w:eastAsia="仿宋" w:cs="宋体"/>
          <w:kern w:val="0"/>
          <w:sz w:val="24"/>
        </w:rPr>
        <w:t>元整（大写</w:t>
      </w:r>
      <w:r>
        <w:rPr>
          <w:rFonts w:hint="eastAsia" w:ascii="仿宋" w:hAnsi="仿宋" w:eastAsia="仿宋" w:cs="宋体"/>
          <w:kern w:val="0"/>
          <w:sz w:val="24"/>
          <w:u w:val="single"/>
        </w:rPr>
        <w:t xml:space="preserve">   </w:t>
      </w:r>
      <w:r>
        <w:rPr>
          <w:rFonts w:hint="eastAsia" w:ascii="仿宋" w:hAnsi="仿宋" w:eastAsia="仿宋" w:cs="宋体"/>
          <w:kern w:val="0"/>
          <w:sz w:val="24"/>
        </w:rPr>
        <w:t>仟</w:t>
      </w:r>
      <w:r>
        <w:rPr>
          <w:rFonts w:hint="eastAsia" w:ascii="仿宋" w:hAnsi="仿宋" w:eastAsia="仿宋" w:cs="宋体"/>
          <w:kern w:val="0"/>
          <w:sz w:val="24"/>
          <w:u w:val="single"/>
        </w:rPr>
        <w:t xml:space="preserve">   </w:t>
      </w:r>
      <w:r>
        <w:rPr>
          <w:rFonts w:hint="eastAsia" w:ascii="仿宋" w:hAnsi="仿宋" w:eastAsia="仿宋" w:cs="宋体"/>
          <w:kern w:val="0"/>
          <w:sz w:val="24"/>
        </w:rPr>
        <w:t>佰</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拾  </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元整，不计息）</w:t>
      </w:r>
      <w:r>
        <w:rPr>
          <w:rFonts w:hint="eastAsia" w:ascii="仿宋_GB2312" w:hAnsi="仿宋" w:eastAsia="仿宋_GB2312" w:cs="宋体"/>
          <w:kern w:val="0"/>
          <w:sz w:val="24"/>
        </w:rPr>
        <w:t>作为履约保证金。</w:t>
      </w:r>
    </w:p>
    <w:p w14:paraId="5304FDD9">
      <w:pPr>
        <w:widowControl/>
        <w:spacing w:line="520" w:lineRule="exact"/>
        <w:ind w:left="-540" w:leftChars="-257" w:right="-512" w:rightChars="-244" w:firstLine="482" w:firstLineChars="200"/>
        <w:jc w:val="left"/>
        <w:rPr>
          <w:rFonts w:ascii="仿宋_GB2312" w:hAnsi="仿宋" w:eastAsia="仿宋_GB2312" w:cs="宋体"/>
          <w:kern w:val="0"/>
          <w:sz w:val="24"/>
        </w:rPr>
      </w:pPr>
      <w:r>
        <w:rPr>
          <w:rFonts w:hint="eastAsia" w:ascii="仿宋_GB2312" w:hAnsi="仿宋" w:eastAsia="仿宋_GB2312" w:cs="宋体"/>
          <w:b/>
          <w:bCs/>
          <w:kern w:val="0"/>
          <w:sz w:val="24"/>
        </w:rPr>
        <w:t>第四条  租金及支付方式</w:t>
      </w:r>
    </w:p>
    <w:p w14:paraId="1FD9E6BC">
      <w:pPr>
        <w:widowControl/>
        <w:tabs>
          <w:tab w:val="left" w:pos="0"/>
          <w:tab w:val="left" w:pos="220"/>
        </w:tabs>
        <w:spacing w:line="520" w:lineRule="exact"/>
        <w:ind w:left="221" w:leftChars="-27" w:right="-439" w:rightChars="-209" w:hanging="278" w:hangingChars="116"/>
        <w:jc w:val="left"/>
        <w:rPr>
          <w:rFonts w:ascii="仿宋_GB2312" w:hAnsi="仿宋" w:eastAsia="仿宋_GB2312" w:cs="宋体"/>
          <w:strike w:val="0"/>
          <w:dstrike w:val="0"/>
          <w:kern w:val="0"/>
          <w:sz w:val="24"/>
        </w:rPr>
      </w:pPr>
      <w:r>
        <w:rPr>
          <w:rFonts w:hint="eastAsia" w:ascii="仿宋_GB2312" w:hAnsi="仿宋" w:eastAsia="仿宋_GB2312" w:cs="宋体"/>
          <w:kern w:val="0"/>
          <w:sz w:val="24"/>
        </w:rPr>
        <w:t>1、</w:t>
      </w:r>
      <w:r>
        <w:rPr>
          <w:rFonts w:hint="eastAsia" w:ascii="仿宋" w:hAnsi="仿宋" w:eastAsia="仿宋" w:cs="宋体"/>
          <w:kern w:val="0"/>
          <w:sz w:val="24"/>
        </w:rPr>
        <w:t>房屋自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日起至</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日止</w:t>
      </w:r>
      <w:r>
        <w:rPr>
          <w:rFonts w:hint="eastAsia" w:ascii="仿宋" w:hAnsi="仿宋" w:eastAsia="仿宋" w:cs="宋体"/>
          <w:kern w:val="0"/>
          <w:sz w:val="24"/>
          <w:lang w:val="en-US" w:eastAsia="zh-CN"/>
        </w:rPr>
        <w:t>原</w:t>
      </w:r>
      <w:r>
        <w:rPr>
          <w:rFonts w:hint="eastAsia" w:ascii="仿宋" w:hAnsi="仿宋" w:eastAsia="仿宋" w:cs="宋体"/>
          <w:kern w:val="0"/>
          <w:sz w:val="24"/>
        </w:rPr>
        <w:t>每月租金为人民币</w:t>
      </w:r>
      <w:r>
        <w:rPr>
          <w:rFonts w:hint="eastAsia" w:ascii="仿宋" w:hAnsi="仿宋" w:eastAsia="仿宋" w:cs="宋体"/>
          <w:kern w:val="0"/>
          <w:sz w:val="24"/>
          <w:u w:val="single"/>
        </w:rPr>
        <w:t xml:space="preserve">     </w:t>
      </w:r>
      <w:r>
        <w:rPr>
          <w:rFonts w:hint="eastAsia" w:ascii="仿宋" w:hAnsi="仿宋" w:eastAsia="仿宋" w:cs="宋体"/>
          <w:kern w:val="0"/>
          <w:sz w:val="24"/>
        </w:rPr>
        <w:t>元/月</w:t>
      </w:r>
      <w:r>
        <w:rPr>
          <w:rFonts w:hint="eastAsia" w:ascii="仿宋" w:hAnsi="仿宋" w:eastAsia="仿宋" w:cs="宋体"/>
          <w:kern w:val="0"/>
          <w:sz w:val="24"/>
          <w:lang w:eastAsia="zh-CN"/>
        </w:rPr>
        <w:t>，（</w:t>
      </w:r>
      <w:r>
        <w:rPr>
          <w:rFonts w:hint="eastAsia" w:ascii="仿宋" w:hAnsi="仿宋" w:eastAsia="仿宋" w:cs="宋体"/>
          <w:kern w:val="0"/>
          <w:sz w:val="24"/>
          <w:lang w:val="en-US" w:eastAsia="zh-CN"/>
        </w:rPr>
        <w:t>中标价</w:t>
      </w:r>
      <w:r>
        <w:rPr>
          <w:rFonts w:hint="eastAsia" w:ascii="仿宋" w:hAnsi="仿宋" w:eastAsia="仿宋" w:cs="宋体"/>
          <w:kern w:val="0"/>
          <w:sz w:val="24"/>
          <w:u w:val="single"/>
          <w:lang w:val="en-US" w:eastAsia="zh-CN"/>
        </w:rPr>
        <w:t xml:space="preserve">         </w:t>
      </w:r>
      <w:r>
        <w:rPr>
          <w:rFonts w:hint="eastAsia" w:ascii="仿宋" w:hAnsi="仿宋" w:eastAsia="仿宋" w:cs="宋体"/>
          <w:kern w:val="0"/>
          <w:sz w:val="24"/>
          <w:u w:val="none"/>
          <w:lang w:val="en-US" w:eastAsia="zh-CN"/>
        </w:rPr>
        <w:t>元，下调20%后</w:t>
      </w:r>
      <w:r>
        <w:rPr>
          <w:rFonts w:hint="eastAsia" w:ascii="仿宋" w:hAnsi="仿宋" w:eastAsia="仿宋" w:cs="宋体"/>
          <w:kern w:val="0"/>
          <w:sz w:val="24"/>
          <w:u w:val="single"/>
          <w:lang w:val="en-US" w:eastAsia="zh-CN"/>
        </w:rPr>
        <w:t xml:space="preserve">            </w:t>
      </w:r>
      <w:r>
        <w:rPr>
          <w:rFonts w:hint="eastAsia" w:ascii="仿宋" w:hAnsi="仿宋" w:eastAsia="仿宋" w:cs="宋体"/>
          <w:kern w:val="0"/>
          <w:sz w:val="24"/>
          <w:u w:val="none"/>
          <w:lang w:val="en-US" w:eastAsia="zh-CN"/>
        </w:rPr>
        <w:t>元。）第三年</w:t>
      </w:r>
      <w:r>
        <w:rPr>
          <w:rFonts w:hint="eastAsia" w:ascii="仿宋" w:hAnsi="仿宋" w:eastAsia="仿宋" w:cs="宋体"/>
          <w:kern w:val="0"/>
          <w:sz w:val="24"/>
          <w:lang w:eastAsia="zh-CN"/>
        </w:rPr>
        <w:t>起</w:t>
      </w:r>
      <w:r>
        <w:rPr>
          <w:rFonts w:hint="eastAsia" w:ascii="仿宋" w:hAnsi="仿宋" w:eastAsia="仿宋" w:cs="宋体"/>
          <w:kern w:val="0"/>
          <w:sz w:val="24"/>
          <w:lang w:val="en-US" w:eastAsia="zh-CN"/>
        </w:rPr>
        <w:t>租金恢复中标价。</w:t>
      </w:r>
      <w:r>
        <w:rPr>
          <w:rFonts w:hint="eastAsia" w:ascii="仿宋" w:hAnsi="仿宋" w:eastAsia="仿宋" w:cs="宋体"/>
          <w:strike w:val="0"/>
          <w:dstrike w:val="0"/>
          <w:kern w:val="0"/>
          <w:sz w:val="24"/>
        </w:rPr>
        <w:t>自</w:t>
      </w:r>
      <w:r>
        <w:rPr>
          <w:rFonts w:hint="eastAsia" w:ascii="仿宋" w:hAnsi="仿宋" w:eastAsia="仿宋" w:cs="宋体"/>
          <w:strike w:val="0"/>
          <w:dstrike w:val="0"/>
          <w:kern w:val="0"/>
          <w:sz w:val="24"/>
          <w:u w:val="single"/>
        </w:rPr>
        <w:t xml:space="preserve">    </w:t>
      </w:r>
      <w:r>
        <w:rPr>
          <w:rFonts w:hint="eastAsia" w:ascii="仿宋" w:hAnsi="仿宋" w:eastAsia="仿宋" w:cs="宋体"/>
          <w:strike w:val="0"/>
          <w:dstrike w:val="0"/>
          <w:kern w:val="0"/>
          <w:sz w:val="24"/>
        </w:rPr>
        <w:t>年</w:t>
      </w:r>
      <w:r>
        <w:rPr>
          <w:rFonts w:hint="eastAsia" w:ascii="仿宋" w:hAnsi="仿宋" w:eastAsia="仿宋" w:cs="宋体"/>
          <w:strike w:val="0"/>
          <w:dstrike w:val="0"/>
          <w:kern w:val="0"/>
          <w:sz w:val="24"/>
          <w:u w:val="single"/>
        </w:rPr>
        <w:t xml:space="preserve">    </w:t>
      </w:r>
      <w:r>
        <w:rPr>
          <w:rFonts w:hint="eastAsia" w:ascii="仿宋" w:hAnsi="仿宋" w:eastAsia="仿宋" w:cs="宋体"/>
          <w:strike w:val="0"/>
          <w:dstrike w:val="0"/>
          <w:kern w:val="0"/>
          <w:sz w:val="24"/>
        </w:rPr>
        <w:t>月</w:t>
      </w:r>
      <w:r>
        <w:rPr>
          <w:rFonts w:hint="eastAsia" w:ascii="仿宋" w:hAnsi="仿宋" w:eastAsia="仿宋" w:cs="宋体"/>
          <w:strike w:val="0"/>
          <w:dstrike w:val="0"/>
          <w:kern w:val="0"/>
          <w:sz w:val="24"/>
          <w:u w:val="single"/>
        </w:rPr>
        <w:t xml:space="preserve">   </w:t>
      </w:r>
      <w:r>
        <w:rPr>
          <w:rFonts w:hint="eastAsia" w:ascii="仿宋" w:hAnsi="仿宋" w:eastAsia="仿宋" w:cs="宋体"/>
          <w:strike w:val="0"/>
          <w:dstrike w:val="0"/>
          <w:kern w:val="0"/>
          <w:sz w:val="24"/>
        </w:rPr>
        <w:t>日起月租金按上一年的月租金标准递增5％</w:t>
      </w:r>
      <w:r>
        <w:rPr>
          <w:rFonts w:hint="eastAsia" w:ascii="仿宋" w:hAnsi="仿宋" w:eastAsia="仿宋" w:cs="宋体"/>
          <w:strike w:val="0"/>
          <w:dstrike w:val="0"/>
          <w:kern w:val="0"/>
          <w:sz w:val="24"/>
          <w:lang w:eastAsia="zh-CN"/>
        </w:rPr>
        <w:t>，</w:t>
      </w:r>
      <w:r>
        <w:rPr>
          <w:rFonts w:hint="eastAsia" w:ascii="仿宋" w:hAnsi="仿宋" w:eastAsia="仿宋" w:cs="宋体"/>
          <w:strike w:val="0"/>
          <w:dstrike w:val="0"/>
          <w:kern w:val="0"/>
          <w:sz w:val="24"/>
          <w:lang w:val="en-US" w:eastAsia="zh-CN"/>
        </w:rPr>
        <w:t>只递增一次</w:t>
      </w:r>
      <w:r>
        <w:rPr>
          <w:rFonts w:hint="eastAsia" w:ascii="仿宋_GB2312" w:hAnsi="仿宋" w:eastAsia="仿宋_GB2312" w:cs="宋体"/>
          <w:strike w:val="0"/>
          <w:dstrike w:val="0"/>
          <w:kern w:val="0"/>
          <w:sz w:val="24"/>
        </w:rPr>
        <w:t>。</w:t>
      </w:r>
    </w:p>
    <w:p w14:paraId="6DA53CC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2、房屋租金支付方式：</w:t>
      </w:r>
    </w:p>
    <w:p w14:paraId="457C2C53">
      <w:pPr>
        <w:widowControl/>
        <w:spacing w:line="520" w:lineRule="exact"/>
        <w:ind w:left="-57" w:leftChars="-27" w:right="-512" w:rightChars="-244" w:firstLine="0" w:firstLineChars="0"/>
        <w:jc w:val="left"/>
        <w:rPr>
          <w:rFonts w:ascii="仿宋_GB2312" w:hAnsi="仿宋" w:eastAsia="仿宋_GB2312" w:cs="宋体"/>
          <w:kern w:val="0"/>
          <w:sz w:val="24"/>
        </w:rPr>
      </w:pPr>
      <w:r>
        <w:rPr>
          <w:rFonts w:hint="eastAsia" w:ascii="仿宋_GB2312" w:hAnsi="仿宋" w:eastAsia="仿宋_GB2312" w:cs="宋体"/>
          <w:kern w:val="0"/>
          <w:sz w:val="24"/>
        </w:rPr>
        <w:t>租金按每</w:t>
      </w:r>
      <w:r>
        <w:rPr>
          <w:rFonts w:hint="eastAsia" w:ascii="仿宋_GB2312" w:hAnsi="仿宋" w:eastAsia="仿宋_GB2312" w:cs="宋体"/>
          <w:kern w:val="0"/>
          <w:sz w:val="24"/>
          <w:u w:val="single"/>
        </w:rPr>
        <w:t>叁个月</w:t>
      </w:r>
      <w:r>
        <w:rPr>
          <w:rFonts w:hint="eastAsia" w:ascii="仿宋_GB2312" w:hAnsi="仿宋" w:eastAsia="仿宋_GB2312" w:cs="宋体"/>
          <w:kern w:val="0"/>
          <w:sz w:val="24"/>
        </w:rPr>
        <w:t>为一期支付，乙方应于合同签订当日缴纳第一期租金，此后应于每期租金到期前5日内交付下期租金。</w:t>
      </w:r>
    </w:p>
    <w:p w14:paraId="190EC3EF">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宋体"/>
          <w:kern w:val="0"/>
          <w:sz w:val="24"/>
        </w:rPr>
        <w:t>3、</w:t>
      </w:r>
      <w:r>
        <w:rPr>
          <w:rFonts w:hint="eastAsia" w:ascii="仿宋_GB2312" w:hAnsi="仿宋" w:eastAsia="仿宋_GB2312" w:cs="Helvetica"/>
          <w:kern w:val="0"/>
          <w:sz w:val="24"/>
        </w:rPr>
        <w:t>甲方收款账号：</w:t>
      </w:r>
    </w:p>
    <w:p w14:paraId="783A9ECB">
      <w:pPr>
        <w:widowControl/>
        <w:shd w:val="clear" w:color="auto" w:fill="FFFFFF"/>
        <w:spacing w:line="520" w:lineRule="exact"/>
        <w:ind w:firstLine="480" w:firstLineChars="200"/>
        <w:jc w:val="left"/>
        <w:rPr>
          <w:rFonts w:ascii="楷体_GB2312" w:hAnsi="楷体_GB2312" w:eastAsia="楷体_GB2312" w:cs="楷体_GB2312"/>
          <w:kern w:val="0"/>
          <w:sz w:val="24"/>
        </w:rPr>
      </w:pPr>
      <w:r>
        <w:rPr>
          <w:rFonts w:hint="eastAsia" w:ascii="楷体_GB2312" w:hAnsi="楷体_GB2312" w:eastAsia="楷体_GB2312" w:cs="楷体_GB2312"/>
          <w:kern w:val="0"/>
          <w:sz w:val="24"/>
        </w:rPr>
        <w:t>开户名: 厦门市健益发展有限公司</w:t>
      </w:r>
    </w:p>
    <w:p w14:paraId="3ABBB28E">
      <w:pPr>
        <w:widowControl/>
        <w:shd w:val="clear" w:color="auto" w:fill="FFFFFF"/>
        <w:spacing w:line="520" w:lineRule="exact"/>
        <w:ind w:firstLine="480" w:firstLineChars="200"/>
        <w:jc w:val="left"/>
        <w:rPr>
          <w:rFonts w:ascii="楷体_GB2312" w:hAnsi="楷体_GB2312" w:eastAsia="楷体_GB2312" w:cs="楷体_GB2312"/>
          <w:kern w:val="0"/>
          <w:sz w:val="24"/>
        </w:rPr>
      </w:pPr>
      <w:r>
        <w:rPr>
          <w:rFonts w:hint="eastAsia" w:ascii="楷体_GB2312" w:hAnsi="楷体_GB2312" w:eastAsia="楷体_GB2312" w:cs="楷体_GB2312"/>
          <w:kern w:val="0"/>
          <w:sz w:val="24"/>
        </w:rPr>
        <w:t>开户行：建行同安支行</w:t>
      </w:r>
    </w:p>
    <w:p w14:paraId="3FFFAD29">
      <w:pPr>
        <w:widowControl/>
        <w:shd w:val="clear" w:color="auto" w:fill="FFFFFF"/>
        <w:spacing w:line="520" w:lineRule="exact"/>
        <w:ind w:firstLine="480" w:firstLineChars="200"/>
        <w:jc w:val="left"/>
        <w:rPr>
          <w:rFonts w:ascii="楷体_GB2312" w:hAnsi="楷体_GB2312" w:eastAsia="楷体_GB2312" w:cs="楷体_GB2312"/>
          <w:kern w:val="0"/>
          <w:sz w:val="24"/>
        </w:rPr>
      </w:pPr>
      <w:r>
        <w:rPr>
          <w:rFonts w:hint="eastAsia" w:ascii="楷体_GB2312" w:hAnsi="楷体_GB2312" w:eastAsia="楷体_GB2312" w:cs="楷体_GB2312"/>
          <w:kern w:val="0"/>
          <w:sz w:val="24"/>
        </w:rPr>
        <w:t>账号：  35101540001050005875</w:t>
      </w:r>
    </w:p>
    <w:p w14:paraId="17176CD5">
      <w:pPr>
        <w:widowControl/>
        <w:spacing w:line="500" w:lineRule="exact"/>
        <w:ind w:left="-538" w:leftChars="-256"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第五条  租赁期间相关费用</w:t>
      </w:r>
    </w:p>
    <w:p w14:paraId="14E25208">
      <w:pPr>
        <w:widowControl/>
        <w:spacing w:line="500" w:lineRule="exact"/>
        <w:ind w:left="-55" w:leftChars="-26" w:right="-512" w:rightChars="-244" w:firstLine="480" w:firstLineChars="200"/>
        <w:jc w:val="left"/>
        <w:rPr>
          <w:rFonts w:ascii="仿宋_GB2312" w:hAnsi="仿宋" w:eastAsia="仿宋_GB2312" w:cs="宋体"/>
          <w:kern w:val="0"/>
          <w:sz w:val="24"/>
        </w:rPr>
      </w:pPr>
      <w:bookmarkStart w:id="6" w:name="_GoBack"/>
      <w:bookmarkEnd w:id="6"/>
      <w:r>
        <w:rPr>
          <w:rFonts w:hint="eastAsia" w:ascii="仿宋_GB2312" w:hAnsi="仿宋" w:eastAsia="仿宋_GB2312" w:cs="宋体"/>
          <w:kern w:val="0"/>
          <w:sz w:val="24"/>
        </w:rPr>
        <w:t>乙方承租期间所发生的水费、电费、公摊水电费、有线电视收视费、生活垃圾处理费、卫生费、物业管理费等费用及产生的滞纳金均由乙方缴纳负担。乙方应保存并向甲方出示相关的缴费凭据。</w:t>
      </w:r>
    </w:p>
    <w:p w14:paraId="3A0000EE">
      <w:pPr>
        <w:widowControl/>
        <w:spacing w:line="500" w:lineRule="exact"/>
        <w:ind w:left="-538" w:leftChars="-256"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第六条  租赁期间安全生产及管理</w:t>
      </w:r>
    </w:p>
    <w:p w14:paraId="4BB6123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1、乙方要遵守国家的法律和法规、厦门市地方性法规规章以及计生方面等其它有关规定。</w:t>
      </w:r>
    </w:p>
    <w:p w14:paraId="28D091D3">
      <w:pPr>
        <w:widowControl/>
        <w:tabs>
          <w:tab w:val="left" w:pos="9030"/>
        </w:tabs>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承担安全主体责任，自行做好治安、消防、人身和财产防范等安全生产工作，遵循厦门市“网格化管理”，保证防范措施到位有效。因乙方原因发生安全等事故，甲方可没收履约保证金、提前终止合同，由此产生的一切后果和责任均由乙方承担。</w:t>
      </w:r>
    </w:p>
    <w:p w14:paraId="6677EF6E">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乙方应按规定及安全规范要求配备灭火器等其他消防器材，对所属及相关人员按要求进行必要安全生产工作的培训，及时完成达到甲方日常安全巡查中提出的整改要求,否则甲方可视乙方整改情况没收履约保证金直至终止合同。</w:t>
      </w:r>
    </w:p>
    <w:p w14:paraId="2C4420A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4、乙方因经营需要设置店面招牌广告，须申报甲方书面同意并取得区相关部门审批手续后方可制作设置。</w:t>
      </w:r>
    </w:p>
    <w:p w14:paraId="26B08EB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乙方应执行政府有关负责门前“三包”的规定。垃圾按规定投放指定地点,做好分类。有垃圾转运通道的店面,由商家指定转运，并协助做好转运后通道清理保养工作。造成污洉洒地、污染到环境和空气的，甲方有权按每次发函整改为依据，从保证金中每次扣100元，凭证为据。</w:t>
      </w:r>
    </w:p>
    <w:p w14:paraId="3AF665BE">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6、乙方在不改变租赁房屋结构、用途的前提下，要将房屋全部或部分转租、转借他方，须提前45日书面申报甲方同意后，并办理合同变更手续。</w:t>
      </w:r>
    </w:p>
    <w:p w14:paraId="7C9818B9">
      <w:pPr>
        <w:widowControl/>
        <w:spacing w:line="520" w:lineRule="exact"/>
        <w:ind w:right="-512" w:rightChars="-244"/>
        <w:jc w:val="left"/>
        <w:rPr>
          <w:rFonts w:ascii="仿宋_GB2312" w:hAnsi="仿宋" w:eastAsia="仿宋_GB2312" w:cs="宋体"/>
          <w:kern w:val="0"/>
          <w:sz w:val="24"/>
        </w:rPr>
      </w:pPr>
      <w:r>
        <w:rPr>
          <w:rFonts w:hint="eastAsia" w:ascii="仿宋_GB2312" w:hAnsi="仿宋" w:eastAsia="仿宋_GB2312" w:cs="宋体"/>
          <w:b/>
          <w:bCs/>
          <w:kern w:val="0"/>
          <w:sz w:val="24"/>
        </w:rPr>
        <w:t>第七条  房屋的修缮与使用</w:t>
      </w:r>
    </w:p>
    <w:p w14:paraId="723C56BA">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方于本合同生效之日起将房屋交付给乙方使用(附移交确认书)，乙方对承租的房屋（含房屋内物品、水电等设施）负保护及维修责任，维修费用由乙方自理，造成设施或物品损坏的，乙方应负责修复或照价赔偿。</w:t>
      </w:r>
    </w:p>
    <w:p w14:paraId="14B8C6E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w:t>
      </w:r>
      <w:r>
        <w:rPr>
          <w:rFonts w:hint="eastAsia" w:ascii="仿宋_GB2312" w:hAnsi="仿宋" w:eastAsia="仿宋_GB2312" w:cs="Helvetica"/>
          <w:kern w:val="0"/>
          <w:sz w:val="24"/>
        </w:rPr>
        <w:t>乙方需出资改变房屋的内部结构、装修或设置对房屋结构有影响的设备，</w:t>
      </w:r>
      <w:bookmarkStart w:id="0" w:name="OLE_LINK2"/>
      <w:r>
        <w:rPr>
          <w:rFonts w:hint="eastAsia" w:ascii="仿宋_GB2312" w:hAnsi="仿宋" w:eastAsia="仿宋_GB2312" w:cs="Helvetica"/>
          <w:kern w:val="0"/>
          <w:sz w:val="24"/>
        </w:rPr>
        <w:t>涉及</w:t>
      </w:r>
      <w:bookmarkEnd w:id="0"/>
      <w:r>
        <w:rPr>
          <w:rFonts w:hint="eastAsia" w:ascii="仿宋_GB2312" w:hAnsi="仿宋" w:eastAsia="仿宋_GB2312" w:cs="Helvetica"/>
          <w:kern w:val="0"/>
          <w:sz w:val="24"/>
        </w:rPr>
        <w:t>的设计规模、范围、工艺、用料等方案均须事先征得甲方的书面同意后方可施工。租赁期满后或因乙方责任导致合同提前终止的，甲方有权选择以下其中一项权利：</w:t>
      </w:r>
    </w:p>
    <w:p w14:paraId="79540DFA">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（1）已形成房屋附合装饰装修物无偿归甲方所有；</w:t>
      </w:r>
    </w:p>
    <w:p w14:paraId="4F38B987">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（2）乙方将房屋恢复原状；</w:t>
      </w:r>
    </w:p>
    <w:p w14:paraId="69A04B75">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（3）乙方支付甲方对房屋恢复原状实际发生的全部费用。</w:t>
      </w:r>
    </w:p>
    <w:p w14:paraId="474B1D27">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3、乙方应确保承租场所设有2个或2个以上消防逃生通道，费用自理。</w:t>
      </w:r>
    </w:p>
    <w:p w14:paraId="470FD312">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第八条  合同的解除与终止</w:t>
      </w:r>
    </w:p>
    <w:p w14:paraId="4857995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w:t>
      </w:r>
      <w:r>
        <w:rPr>
          <w:rFonts w:hint="eastAsia" w:ascii="仿宋_GB2312" w:hAnsi="仿宋" w:eastAsia="仿宋_GB2312" w:cs="宋体"/>
          <w:b/>
          <w:bCs/>
          <w:kern w:val="0"/>
          <w:sz w:val="24"/>
        </w:rPr>
        <w:t>乙方不履行或不完全履行合同义务时,甲方有权单方收回出租房屋。</w:t>
      </w:r>
    </w:p>
    <w:p w14:paraId="21FE4A0E">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房屋租赁期间，乙方有下列行为之一的，甲方有权解除本合同，收回出租房屋，租赁履约保证金不予退还：</w:t>
      </w:r>
    </w:p>
    <w:p w14:paraId="23A5A90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（1）未经甲方书面同意全部或部分转租、转借所承租的房屋；</w:t>
      </w:r>
    </w:p>
    <w:p w14:paraId="0445611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（2）未经甲方书面同意擅自拆改变动房屋结构；</w:t>
      </w:r>
    </w:p>
    <w:p w14:paraId="282296D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（3）损坏承租房屋及配套设施和物品，在甲方提出的合理期限内仍未修复的；</w:t>
      </w:r>
    </w:p>
    <w:p w14:paraId="6A50BDE0">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（4）未经甲方书面同意改变本合同约定的房屋租赁用途；</w:t>
      </w:r>
    </w:p>
    <w:p w14:paraId="2FBA14B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（5）利用承租房屋存放危险物或从事赌博、吸毒等其它违法活动；</w:t>
      </w:r>
    </w:p>
    <w:p w14:paraId="4E0E4BC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（6）逾期未交纳按约定应当由乙方交纳的各项费用；</w:t>
      </w:r>
    </w:p>
    <w:p w14:paraId="18F2FCF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（7）拖欠房屋租金累计5日以上（含本数）；</w:t>
      </w:r>
    </w:p>
    <w:p w14:paraId="73013CA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（8）不按照规定和本合同约定要求设置户外广告牌；</w:t>
      </w:r>
    </w:p>
    <w:p w14:paraId="3D35B43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（9）在房屋内部、周围、屋顶、阳台等处违法建设（搭建）附属物或违章占道经营的；</w:t>
      </w:r>
    </w:p>
    <w:p w14:paraId="2A915D4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（10）不遵守和履行合同附件及甲方有关管理制度，经劝导后仍未及时整改的。</w:t>
      </w:r>
    </w:p>
    <w:p w14:paraId="46FC7A59">
      <w:pPr>
        <w:widowControl/>
        <w:spacing w:line="520" w:lineRule="exact"/>
        <w:ind w:left="-517" w:leftChars="-246" w:right="-176" w:rightChars="-8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2、乙方违反本合同约定，甲方有权提前终止合同，乙方因此造成的全部损失自行承担。</w:t>
      </w:r>
    </w:p>
    <w:p w14:paraId="330ACD3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3、租赁期满日，本合同即自行终止，甲方有权无偿收回房屋并向社会公开招投标。</w:t>
      </w:r>
    </w:p>
    <w:p w14:paraId="7079878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4、乙方拖欠房屋租金累计5日以上、拖欠租金且经甲方按本合同首部电话联系方式无法联系乙方的、租期届满时不腾退房屋的，甲方经本合同第十二条约定的通知与送达方式催告</w:t>
      </w:r>
      <w:r>
        <w:rPr>
          <w:rFonts w:hint="eastAsia" w:ascii="仿宋_GB2312" w:hAnsi="仿宋" w:eastAsia="仿宋_GB2312" w:cs="宋体"/>
          <w:kern w:val="0"/>
          <w:sz w:val="24"/>
          <w:u w:val="single"/>
        </w:rPr>
        <w:t xml:space="preserve"> 七个日历日    </w:t>
      </w:r>
      <w:r>
        <w:rPr>
          <w:rFonts w:hint="eastAsia" w:ascii="仿宋_GB2312" w:hAnsi="仿宋" w:eastAsia="仿宋_GB2312" w:cs="宋体"/>
          <w:kern w:val="0"/>
          <w:sz w:val="24"/>
        </w:rPr>
        <w:t>后，甲方有权自行组织人员（或在公证机关等有关部门的协助下）单方收回房屋。</w:t>
      </w:r>
    </w:p>
    <w:p w14:paraId="7E96010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乙方拒不到场或无法按本合同首部约定的方式联系的，甲方有权（或在公证机关等有关部门的协助下）清点存放在出租房屋中的财物时,登记造册、拍照或摄像,保全过程制作现场记录,财物交由甲方处置。</w:t>
      </w:r>
    </w:p>
    <w:p w14:paraId="56ECDD2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甲方就上述事项向乙方发出中国邮政EMS</w:t>
      </w:r>
      <w:r>
        <w:rPr>
          <w:rFonts w:hint="eastAsia" w:ascii="仿宋_GB2312" w:hAnsi="仿宋" w:eastAsia="仿宋_GB2312" w:cs="宋体"/>
          <w:kern w:val="0"/>
          <w:sz w:val="24"/>
          <w:u w:val="single"/>
        </w:rPr>
        <w:t>十五个日历后</w:t>
      </w:r>
      <w:r>
        <w:rPr>
          <w:rFonts w:hint="eastAsia" w:ascii="仿宋_GB2312" w:hAnsi="仿宋" w:eastAsia="仿宋_GB2312" w:cs="宋体"/>
          <w:kern w:val="0"/>
          <w:sz w:val="24"/>
        </w:rPr>
        <w:t>（无论乙方是否实际签收或拒绝签收），上述财物视作乙方抛弃物且由甲方自由处置。</w:t>
      </w:r>
    </w:p>
    <w:p w14:paraId="2ED8ABD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5、甲方因依法如约单方收回房屋发生的诉讼费、律师代理费、公证费、保管费、评估费、鉴定费、查询费、邮寄费等一切费用，均由乙方全部承担。</w:t>
      </w:r>
    </w:p>
    <w:p w14:paraId="27110C99">
      <w:pPr>
        <w:widowControl/>
        <w:spacing w:line="520" w:lineRule="exact"/>
        <w:ind w:right="-512" w:rightChars="-244"/>
        <w:jc w:val="left"/>
        <w:rPr>
          <w:rFonts w:ascii="仿宋_GB2312" w:hAnsi="仿宋" w:eastAsia="仿宋_GB2312" w:cs="宋体"/>
          <w:kern w:val="0"/>
          <w:sz w:val="24"/>
        </w:rPr>
      </w:pPr>
      <w:r>
        <w:rPr>
          <w:rFonts w:hint="eastAsia" w:ascii="仿宋_GB2312" w:hAnsi="仿宋" w:eastAsia="仿宋_GB2312" w:cs="宋体"/>
          <w:b/>
          <w:bCs/>
          <w:kern w:val="0"/>
          <w:sz w:val="24"/>
        </w:rPr>
        <w:t>第九条  违约责任</w:t>
      </w:r>
    </w:p>
    <w:p w14:paraId="423BAE2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租赁期内，乙方未经甲方同意，中途擅自退租的，甲方不予退回乙方已交的租金和租赁履约保证金，同时不补偿乙方对该房屋投入、装修及其他费用，乙方添置的动产及商品由乙方自行处理，已形成的房屋附合装饰装修物（含门窗、防盗网、水电设施等）无偿归甲方所有。</w:t>
      </w:r>
    </w:p>
    <w:p w14:paraId="29B9A96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2、租赁期内，乙方不得拖欠房租，乙方逾期交纳本合同约定的租金及各项费用，每逾期一日，则应按逾期欠缴金额的百分之一向甲方支付违约金，直至欠款付清日。</w:t>
      </w:r>
    </w:p>
    <w:p w14:paraId="38EED8E6">
      <w:pPr>
        <w:widowControl/>
        <w:spacing w:line="520" w:lineRule="exact"/>
        <w:ind w:left="-517" w:leftChars="-246" w:right="-176" w:rightChars="-8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租赁期满日，乙方应如期如数完好交还该房屋及设施和物品，甲方则无息退还乙方履约保证金。乙方逾期交还房屋及设施和物品，甲方不退还租赁履行保证金；且每逾期一日，乙方应向甲方支付日租金的5倍作为迟延履行违约金，直到交还房屋及设施和物品之日止。</w:t>
      </w:r>
    </w:p>
    <w:p w14:paraId="7DECD60B">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第十条</w:t>
      </w:r>
      <w:bookmarkStart w:id="1" w:name="OLE_LINK1"/>
      <w:r>
        <w:rPr>
          <w:rFonts w:hint="eastAsia" w:ascii="仿宋_GB2312" w:hAnsi="仿宋" w:eastAsia="仿宋_GB2312" w:cs="宋体"/>
          <w:b/>
          <w:bCs/>
          <w:kern w:val="0"/>
          <w:sz w:val="24"/>
        </w:rPr>
        <w:t xml:space="preserve">  不可抗力（情势变更）</w:t>
      </w:r>
    </w:p>
    <w:p w14:paraId="4AF48FA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1、因不可抗力原因致使本合同不能继续履行或造成的损失，甲、乙双方互不承担责任，因上述原因而终止合同的，租金</w:t>
      </w:r>
      <w:r>
        <w:rPr>
          <w:rFonts w:hint="eastAsia" w:ascii="仿宋_GB2312" w:hAnsi="仿宋" w:eastAsia="仿宋_GB2312"/>
          <w:sz w:val="24"/>
        </w:rPr>
        <w:t>和各项费用计算至自行搬迁完毕交还房屋及物品和设施止</w:t>
      </w:r>
      <w:r>
        <w:rPr>
          <w:rFonts w:hint="eastAsia" w:ascii="仿宋_GB2312" w:hAnsi="仿宋" w:eastAsia="仿宋_GB2312" w:cs="宋体"/>
          <w:kern w:val="0"/>
          <w:sz w:val="24"/>
        </w:rPr>
        <w:t>，多退少补。</w:t>
      </w:r>
    </w:p>
    <w:p w14:paraId="00028567">
      <w:pPr>
        <w:widowControl/>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cs="宋体"/>
          <w:kern w:val="0"/>
          <w:sz w:val="24"/>
        </w:rPr>
        <w:t>房屋租赁</w:t>
      </w:r>
      <w:r>
        <w:rPr>
          <w:rFonts w:hint="eastAsia" w:ascii="仿宋_GB2312" w:hAnsi="仿宋" w:eastAsia="仿宋_GB2312"/>
          <w:sz w:val="24"/>
        </w:rPr>
        <w:t>期间，因城市建设、政府征用（收）、房产开发、政府及其部门作出政策调整等</w:t>
      </w:r>
      <w:bookmarkStart w:id="2" w:name="OLE_LINK3"/>
      <w:r>
        <w:rPr>
          <w:rFonts w:hint="eastAsia" w:ascii="仿宋_GB2312" w:hAnsi="仿宋" w:eastAsia="仿宋_GB2312"/>
          <w:sz w:val="24"/>
        </w:rPr>
        <w:t>其它重大情势变更</w:t>
      </w:r>
      <w:bookmarkEnd w:id="2"/>
      <w:r>
        <w:rPr>
          <w:rFonts w:hint="eastAsia" w:ascii="仿宋_GB2312" w:hAnsi="仿宋" w:eastAsia="仿宋_GB2312"/>
          <w:sz w:val="24"/>
        </w:rPr>
        <w:t>致使本合同无法继续履行的，甲方有权提前终止本合同，乙方应无条件服从。</w:t>
      </w:r>
    </w:p>
    <w:p w14:paraId="51E8F1AF">
      <w:pPr>
        <w:widowControl/>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终止本合同后，按政府及其有关部门规定的安置补偿方案执行，乙方应在接到甲方书面通知规定期限内自行搬迁完毕，交还租赁的房屋及移交清单上的物品和设施，缴清租金和各项费用，租金和各项费用计算至自行搬迁完毕交还房屋及物品和设施止。</w:t>
      </w:r>
      <w:bookmarkStart w:id="3" w:name="OLE_LINK4"/>
      <w:r>
        <w:rPr>
          <w:rFonts w:hint="eastAsia" w:ascii="仿宋_GB2312" w:hAnsi="仿宋" w:eastAsia="仿宋_GB2312"/>
          <w:sz w:val="24"/>
        </w:rPr>
        <w:t>否则</w:t>
      </w:r>
      <w:bookmarkEnd w:id="3"/>
      <w:r>
        <w:rPr>
          <w:rFonts w:hint="eastAsia" w:ascii="仿宋_GB2312" w:hAnsi="仿宋" w:eastAsia="仿宋_GB2312"/>
          <w:sz w:val="24"/>
        </w:rPr>
        <w:t>，乙方应按第九条第2、3项规定承担违约责任。</w:t>
      </w:r>
    </w:p>
    <w:p w14:paraId="670E5E57">
      <w:pPr>
        <w:widowControl/>
        <w:numPr>
          <w:ilvl w:val="0"/>
          <w:numId w:val="1"/>
        </w:numPr>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因政府拆迁需要，乙方应在甲方发出中国邮政EMS三十个日历日内无条件自行腾空房产并将房产归还甲方，并不得以任何理由向甲方提出任何补偿的要求。 乙方在甲方发出中国邮政EMS三十个日历日内未腾空房产，留置于房产内的</w:t>
      </w:r>
      <w:r>
        <w:rPr>
          <w:rFonts w:hint="eastAsia" w:ascii="仿宋_GB2312" w:hAnsi="仿宋" w:eastAsia="仿宋_GB2312" w:cs="宋体"/>
          <w:kern w:val="0"/>
          <w:sz w:val="24"/>
        </w:rPr>
        <w:t>财物视作乙方抛弃物且由甲方自由处置。甲方因依法如约单方收回房屋发生的诉讼费、律师费代理、公证费、保管费、评估费、鉴定费、查询费、邮寄费等一切费用，均由乙方全部承担。</w:t>
      </w:r>
    </w:p>
    <w:bookmarkEnd w:id="1"/>
    <w:p w14:paraId="11786D7D">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第十一条  争议解决方式</w:t>
      </w:r>
    </w:p>
    <w:p w14:paraId="31444E5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1、甲乙双方在履行本合同发生的任何争议，应当协商或申请调解解决，协商或调解不能解决的 ，约定由</w:t>
      </w:r>
      <w:r>
        <w:rPr>
          <w:rFonts w:hint="eastAsia" w:ascii="仿宋_GB2312" w:hAnsi="仿宋" w:eastAsia="仿宋_GB2312" w:cs="宋体"/>
          <w:kern w:val="0"/>
          <w:sz w:val="24"/>
          <w:u w:val="single"/>
        </w:rPr>
        <w:t>甲方</w:t>
      </w:r>
      <w:r>
        <w:rPr>
          <w:rFonts w:hint="eastAsia" w:ascii="仿宋_GB2312" w:hAnsi="仿宋" w:eastAsia="仿宋_GB2312" w:cs="宋体"/>
          <w:kern w:val="0"/>
          <w:sz w:val="24"/>
        </w:rPr>
        <w:t>住所地管辖的人民法院依法受理。</w:t>
      </w:r>
    </w:p>
    <w:p w14:paraId="13431CC2">
      <w:pPr>
        <w:widowControl/>
        <w:spacing w:line="520" w:lineRule="exact"/>
        <w:ind w:left="-540" w:leftChars="-257" w:right="-512" w:rightChars="-244" w:firstLine="480" w:firstLineChars="200"/>
        <w:jc w:val="left"/>
        <w:rPr>
          <w:rFonts w:ascii="仿宋_GB2312" w:hAnsi="仿宋" w:eastAsia="仿宋_GB2312" w:cs="Helvetica"/>
          <w:kern w:val="0"/>
          <w:sz w:val="24"/>
        </w:rPr>
      </w:pPr>
      <w:r>
        <w:rPr>
          <w:rFonts w:hint="eastAsia" w:ascii="仿宋_GB2312" w:hAnsi="仿宋" w:eastAsia="仿宋_GB2312" w:cs="Helvetica"/>
          <w:kern w:val="0"/>
          <w:sz w:val="24"/>
        </w:rPr>
        <w:t>2、甲方因乙方违约提起诉讼，据此产生的下述相关费用由乙方偿付甲方，包括但不限于诉讼费、公告费、财产保全费、财产保全担保费、公证费、评估费、鉴定费、差旅费、查询费、邮寄费、律师代理费等费用。</w:t>
      </w:r>
    </w:p>
    <w:p w14:paraId="28391BCC">
      <w:pPr>
        <w:widowControl/>
        <w:spacing w:line="520" w:lineRule="exact"/>
        <w:ind w:left="-540" w:leftChars="-257" w:right="-512" w:rightChars="-244" w:firstLine="480" w:firstLineChars="200"/>
        <w:jc w:val="left"/>
        <w:rPr>
          <w:rFonts w:ascii="仿宋_GB2312" w:hAnsi="仿宋" w:eastAsia="仿宋_GB2312" w:cs="Helvetica"/>
          <w:kern w:val="0"/>
          <w:sz w:val="24"/>
        </w:rPr>
      </w:pPr>
      <w:r>
        <w:rPr>
          <w:rFonts w:hint="eastAsia" w:ascii="仿宋_GB2312" w:hAnsi="仿宋" w:eastAsia="仿宋_GB2312" w:cs="Helvetica"/>
          <w:kern w:val="0"/>
          <w:sz w:val="24"/>
        </w:rPr>
        <w:t>3、因乙方过错造成甲方提起法律诉讼的，本合同到期后，取消乙方原承租人资格。</w:t>
      </w:r>
    </w:p>
    <w:p w14:paraId="4172C69E">
      <w:pPr>
        <w:widowControl/>
        <w:spacing w:line="520" w:lineRule="exact"/>
        <w:ind w:left="-540" w:leftChars="-257" w:right="-512" w:rightChars="-244" w:firstLine="480" w:firstLineChars="200"/>
        <w:jc w:val="left"/>
        <w:rPr>
          <w:rFonts w:ascii="仿宋_GB2312" w:hAnsi="仿宋" w:eastAsia="仿宋_GB2312" w:cs="Helvetica"/>
          <w:kern w:val="0"/>
          <w:sz w:val="24"/>
        </w:rPr>
      </w:pPr>
      <w:r>
        <w:rPr>
          <w:rFonts w:hint="eastAsia" w:ascii="仿宋_GB2312" w:hAnsi="仿宋" w:eastAsia="仿宋_GB2312" w:cs="Helvetica"/>
          <w:kern w:val="0"/>
          <w:sz w:val="24"/>
        </w:rPr>
        <w:t>4、如果中标人为单位，公司股东均要作为担保人。</w:t>
      </w:r>
    </w:p>
    <w:p w14:paraId="483ED98F">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第十二条  通知与送达</w:t>
      </w:r>
    </w:p>
    <w:p w14:paraId="2A8E348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 本合同首部约定的地址、联系人及电子通信终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w:t>
      </w:r>
    </w:p>
    <w:p w14:paraId="6DC3DAA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2、甲乙双方之间任何与本合同有关的书面通知、要求和公告等文件，均可采用下列送达方式：</w:t>
      </w:r>
    </w:p>
    <w:p w14:paraId="7B3CE3C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（1）一方专人递送的，另一方签收日即为送达（拒签收，于拒签日视为送达）；</w:t>
      </w:r>
    </w:p>
    <w:p w14:paraId="505A32C9">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（2）一方采用邮寄或快递方式的，另一方签收日即为送达（未签收、拒签收，于该文件寄送至另一方在本合同确认的联系、送达信息内容视为送达；</w:t>
      </w:r>
    </w:p>
    <w:p w14:paraId="63C14BE6">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（3）一方将该文件采用传真、电子邮件、</w:t>
      </w:r>
      <w:bookmarkStart w:id="4" w:name="OLE_LINK7"/>
      <w:r>
        <w:rPr>
          <w:rFonts w:hint="eastAsia" w:ascii="仿宋_GB2312" w:hAnsi="仿宋" w:eastAsia="仿宋_GB2312" w:cs="宋体"/>
          <w:kern w:val="0"/>
          <w:sz w:val="24"/>
        </w:rPr>
        <w:t>移动通信</w:t>
      </w:r>
      <w:bookmarkEnd w:id="4"/>
      <w:r>
        <w:rPr>
          <w:rFonts w:hint="eastAsia" w:ascii="仿宋_GB2312" w:hAnsi="仿宋" w:eastAsia="仿宋_GB2312" w:cs="宋体"/>
          <w:kern w:val="0"/>
          <w:sz w:val="24"/>
        </w:rPr>
        <w:t xml:space="preserve">等即时收悉的特定系统进行送达另一方，一方对应系统显示发送成功的日期为该文件已到达另一方特定系统的日期； </w:t>
      </w:r>
    </w:p>
    <w:p w14:paraId="6B4550E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（4）乙方拒签甲方送达的</w:t>
      </w:r>
      <w:bookmarkStart w:id="5" w:name="OLE_LINK6"/>
      <w:r>
        <w:rPr>
          <w:rFonts w:hint="eastAsia" w:ascii="仿宋_GB2312" w:hAnsi="仿宋" w:eastAsia="仿宋_GB2312" w:cs="宋体"/>
          <w:kern w:val="0"/>
          <w:sz w:val="24"/>
        </w:rPr>
        <w:t>该文件</w:t>
      </w:r>
      <w:bookmarkEnd w:id="5"/>
      <w:r>
        <w:rPr>
          <w:rFonts w:hint="eastAsia" w:ascii="仿宋_GB2312" w:hAnsi="仿宋" w:eastAsia="仿宋_GB2312" w:cs="宋体"/>
          <w:kern w:val="0"/>
          <w:sz w:val="24"/>
        </w:rPr>
        <w:t>，甲方可发微信或在乙方承租的甲方房屋地方张贴该文件，并以拍照（或录像）方式记录留存日，视为该文件已送达乙方。</w:t>
      </w:r>
    </w:p>
    <w:p w14:paraId="15E3E67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（5）任何一方在本条第1项中已经确认的地址、电话、邮箱、微信号等信息内容若发生改变后2日内，应书面通知另一方。否则，双方仍执行在本合同确认的联系、送达的信息内容。</w:t>
      </w:r>
    </w:p>
    <w:p w14:paraId="24049D97">
      <w:pPr>
        <w:widowControl/>
        <w:spacing w:line="520" w:lineRule="exact"/>
        <w:ind w:left="-540" w:leftChars="-257" w:right="-512" w:rightChars="-244" w:firstLine="480" w:firstLineChars="200"/>
        <w:jc w:val="left"/>
        <w:rPr>
          <w:rFonts w:ascii="仿宋_GB2312" w:hAnsi="仿宋" w:eastAsia="仿宋_GB2312" w:cs="宋体"/>
          <w:b/>
          <w:kern w:val="0"/>
          <w:sz w:val="24"/>
          <w:bdr w:val="single" w:color="auto" w:sz="4" w:space="0"/>
        </w:rPr>
      </w:pPr>
      <w:r>
        <w:rPr>
          <w:rFonts w:hint="eastAsia" w:ascii="仿宋_GB2312" w:hAnsi="仿宋" w:eastAsia="仿宋_GB2312" w:cs="宋体"/>
          <w:kern w:val="0"/>
          <w:sz w:val="24"/>
        </w:rPr>
        <w:t>3、甲乙双方确认同意本条第一款的约定也适用于本合同发生争议进行诉讼相关材料和法律文书的送达。当事人对电子通信终端的联系送达适用于争议解决时的送达。</w:t>
      </w:r>
      <w:r>
        <w:rPr>
          <w:rFonts w:hint="eastAsia" w:ascii="仿宋_GB2312" w:hAnsi="仿宋" w:eastAsia="仿宋_GB2312" w:cs="宋体"/>
          <w:b/>
          <w:kern w:val="0"/>
          <w:sz w:val="24"/>
          <w:bdr w:val="single" w:color="auto" w:sz="4" w:space="0"/>
        </w:rPr>
        <w:t xml:space="preserve"> </w:t>
      </w:r>
    </w:p>
    <w:p w14:paraId="32DEAFF7">
      <w:pPr>
        <w:widowControl/>
        <w:spacing w:line="520" w:lineRule="exact"/>
        <w:ind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第十三条  其他</w:t>
      </w:r>
    </w:p>
    <w:p w14:paraId="7DFAC9E8">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1、本合同自甲乙双方签字盖章，并由乙方依约支付租赁履约保证金及第一期租金后生效。</w:t>
      </w:r>
    </w:p>
    <w:p w14:paraId="271CBB4F">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2、本合同未尽事宜，经甲、乙双方协商一致，订立补充条款。补充条款及附件《消防安全责任书》、《“门前三包”责任书》 均为本合同组成部分，与本合同具有同等法律效力。</w:t>
      </w:r>
    </w:p>
    <w:p w14:paraId="3C2EFCF5">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 xml:space="preserve">3、 本合同于 </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年</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月</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日订立，本合同及附件一式肆份，由甲方执叁份、乙方执壹份。</w:t>
      </w:r>
    </w:p>
    <w:p w14:paraId="05C7CEA5">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（以下无正文）</w:t>
      </w:r>
    </w:p>
    <w:p w14:paraId="3FFAFC99">
      <w:pPr>
        <w:widowControl/>
        <w:spacing w:line="720" w:lineRule="auto"/>
        <w:ind w:left="-533" w:leftChars="-254" w:right="-512" w:rightChars="-244" w:firstLine="424" w:firstLineChars="177"/>
        <w:jc w:val="left"/>
        <w:rPr>
          <w:rFonts w:ascii="仿宋_GB2312" w:hAnsi="仿宋" w:eastAsia="仿宋_GB2312" w:cs="宋体"/>
          <w:kern w:val="0"/>
          <w:sz w:val="24"/>
        </w:rPr>
      </w:pPr>
      <w:r>
        <w:rPr>
          <w:rFonts w:hint="eastAsia" w:ascii="仿宋_GB2312" w:hAnsi="仿宋" w:eastAsia="仿宋_GB2312" w:cs="宋体"/>
          <w:kern w:val="0"/>
          <w:sz w:val="24"/>
        </w:rPr>
        <w:t xml:space="preserve">甲方（盖章）：厦门市健益发展有限公司 乙方： </w:t>
      </w:r>
    </w:p>
    <w:p w14:paraId="59E12D49">
      <w:pPr>
        <w:widowControl/>
        <w:spacing w:line="720" w:lineRule="auto"/>
        <w:ind w:left="-533" w:leftChars="-254" w:right="-512" w:rightChars="-244" w:firstLine="424" w:firstLineChars="177"/>
        <w:jc w:val="left"/>
        <w:rPr>
          <w:rFonts w:ascii="仿宋_GB2312" w:hAnsi="仿宋" w:eastAsia="仿宋_GB2312" w:cs="宋体"/>
          <w:kern w:val="0"/>
          <w:sz w:val="24"/>
        </w:rPr>
      </w:pPr>
      <w:r>
        <w:rPr>
          <w:rFonts w:hint="eastAsia" w:ascii="仿宋_GB2312" w:hAnsi="仿宋" w:eastAsia="仿宋_GB2312" w:cs="宋体"/>
          <w:kern w:val="0"/>
          <w:sz w:val="24"/>
        </w:rPr>
        <w:t xml:space="preserve">法定代表人：                         法定代表人：                 </w:t>
      </w:r>
    </w:p>
    <w:p w14:paraId="2F343A6E">
      <w:pPr>
        <w:widowControl/>
        <w:spacing w:line="720" w:lineRule="auto"/>
        <w:ind w:right="-512" w:rightChars="-244"/>
        <w:jc w:val="left"/>
        <w:rPr>
          <w:rFonts w:ascii="仿宋_GB2312" w:hAnsi="仿宋" w:eastAsia="仿宋_GB2312" w:cs="宋体"/>
          <w:kern w:val="0"/>
          <w:sz w:val="24"/>
        </w:rPr>
      </w:pPr>
      <w:r>
        <w:rPr>
          <w:rFonts w:hint="eastAsia" w:ascii="仿宋_GB2312" w:hAnsi="仿宋" w:eastAsia="仿宋_GB2312" w:cs="宋体"/>
          <w:kern w:val="0"/>
          <w:sz w:val="24"/>
        </w:rPr>
        <w:t xml:space="preserve">                                     委托代理人：</w:t>
      </w:r>
    </w:p>
    <w:p w14:paraId="4EEAC459">
      <w:pPr>
        <w:widowControl/>
        <w:spacing w:line="720" w:lineRule="auto"/>
        <w:ind w:left="-533" w:leftChars="-254" w:right="-512" w:rightChars="-244" w:firstLine="424" w:firstLineChars="177"/>
        <w:jc w:val="left"/>
        <w:rPr>
          <w:rFonts w:ascii="宋体" w:hAnsi="宋体"/>
          <w:sz w:val="36"/>
          <w:szCs w:val="36"/>
        </w:rPr>
      </w:pPr>
      <w:r>
        <w:rPr>
          <w:rFonts w:hint="eastAsia" w:ascii="仿宋_GB2312" w:hAnsi="仿宋" w:eastAsia="仿宋_GB2312" w:cs="宋体"/>
          <w:kern w:val="0"/>
          <w:sz w:val="24"/>
        </w:rPr>
        <w:t xml:space="preserve">                    签约日期：       年      月      日</w:t>
      </w:r>
    </w:p>
    <w:p w14:paraId="6DC94539">
      <w:pPr>
        <w:pStyle w:val="5"/>
        <w:rPr>
          <w:rFonts w:ascii="宋体" w:hAnsi="宋体"/>
          <w:sz w:val="36"/>
          <w:szCs w:val="36"/>
        </w:rPr>
      </w:pPr>
    </w:p>
    <w:p w14:paraId="203FEBBE">
      <w:pPr>
        <w:pStyle w:val="5"/>
        <w:rPr>
          <w:rFonts w:ascii="宋体" w:hAnsi="宋体"/>
          <w:sz w:val="44"/>
          <w:szCs w:val="44"/>
        </w:rPr>
      </w:pPr>
      <w:r>
        <w:rPr>
          <w:rFonts w:hint="eastAsia" w:ascii="宋体" w:hAnsi="宋体"/>
          <w:sz w:val="36"/>
          <w:szCs w:val="36"/>
        </w:rPr>
        <w:t>消防安全责任书</w:t>
      </w:r>
    </w:p>
    <w:p w14:paraId="39EF020D">
      <w:pPr>
        <w:rPr>
          <w:rFonts w:ascii="仿宋" w:hAnsi="仿宋" w:eastAsia="仿宋"/>
        </w:rPr>
      </w:pPr>
    </w:p>
    <w:p w14:paraId="525DD3C3">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根据《中华人民共和国消防法》、《厦门市消防条例》等有关规定，对租赁合同中甲乙双方有关消防安全工作职责作以下规定。</w:t>
      </w:r>
    </w:p>
    <w:p w14:paraId="183F0280">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一、在租赁经营活动中的消防安全管理必须认真贯彻“预防为主，防消结合”、“谁承租，谁负责”的原则，明确承租人为消防安全的第一责任人；同时接受当地公安消防部门的指导、监察、检查及消防隐患的整改。</w:t>
      </w:r>
    </w:p>
    <w:p w14:paraId="31745F4B">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二、甲乙双方消防安全管理的职责：</w:t>
      </w:r>
    </w:p>
    <w:p w14:paraId="7029B389">
      <w:pPr>
        <w:pStyle w:val="2"/>
        <w:spacing w:line="500" w:lineRule="exact"/>
        <w:rPr>
          <w:rFonts w:ascii="仿宋_GB2312" w:hAnsi="仿宋_GB2312" w:eastAsia="仿宋_GB2312" w:cs="仿宋_GB2312"/>
          <w:szCs w:val="24"/>
          <w:u w:val="single"/>
        </w:rPr>
      </w:pPr>
      <w:r>
        <w:rPr>
          <w:rFonts w:hint="eastAsia" w:ascii="仿宋_GB2312" w:hAnsi="仿宋_GB2312" w:eastAsia="仿宋_GB2312" w:cs="仿宋_GB2312"/>
          <w:szCs w:val="24"/>
        </w:rPr>
        <w:t xml:space="preserve">   （一）甲方（出租方）：</w:t>
      </w:r>
      <w:r>
        <w:rPr>
          <w:rFonts w:hint="eastAsia" w:ascii="仿宋_GB2312" w:hAnsi="仿宋_GB2312" w:eastAsia="仿宋_GB2312" w:cs="仿宋_GB2312"/>
          <w:szCs w:val="24"/>
          <w:u w:val="single"/>
        </w:rPr>
        <w:t xml:space="preserve">厦门市健益发展有限公司 </w:t>
      </w:r>
    </w:p>
    <w:p w14:paraId="3DB38C7E">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1、甲方配合宣传消防法规、普及消防知识，协助乙方提高消防自防自救能力。</w:t>
      </w:r>
    </w:p>
    <w:p w14:paraId="5E1DA3F0">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2、配合当地公安消防部门督促、检查承租方有关消防法规的执行情况。</w:t>
      </w:r>
    </w:p>
    <w:p w14:paraId="27A87320">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3、甲方有权对乙方承租的场所进行消防检查，发现有违章违规现象和行为以及有火灾隐患的，甲方有权责令乙方进行整改和停业整顿。如乙方不在规定的时间内整改，甲方有权代乙方整改，因此而产生的一切损失和费用，由乙方自行承担。</w:t>
      </w:r>
    </w:p>
    <w:p w14:paraId="0AF57E75">
      <w:pPr>
        <w:pStyle w:val="2"/>
        <w:spacing w:line="500" w:lineRule="exact"/>
        <w:ind w:firstLine="360" w:firstLineChars="150"/>
        <w:rPr>
          <w:rFonts w:ascii="仿宋_GB2312" w:hAnsi="仿宋_GB2312" w:eastAsia="仿宋_GB2312" w:cs="仿宋_GB2312"/>
          <w:szCs w:val="24"/>
          <w:u w:val="single"/>
        </w:rPr>
      </w:pPr>
      <w:r>
        <w:rPr>
          <w:rFonts w:hint="eastAsia" w:ascii="仿宋_GB2312" w:hAnsi="仿宋_GB2312" w:eastAsia="仿宋_GB2312" w:cs="仿宋_GB2312"/>
          <w:szCs w:val="24"/>
        </w:rPr>
        <w:t>（二）乙方（承租方）:</w:t>
      </w:r>
      <w:r>
        <w:rPr>
          <w:rFonts w:hint="eastAsia" w:ascii="仿宋_GB2312" w:hAnsi="仿宋_GB2312" w:eastAsia="仿宋_GB2312" w:cs="仿宋_GB2312"/>
          <w:kern w:val="0"/>
          <w:szCs w:val="24"/>
          <w:u w:val="single"/>
        </w:rPr>
        <w:t xml:space="preserve">                             </w:t>
      </w:r>
    </w:p>
    <w:p w14:paraId="2882B4C9">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根据房产生产经营的实际情况，按消防相关规定，配足、配齐移动式灭火器材(包括消防部门要求配备的消防设施及各类灭火器材，及时维修、更换损坏的消防器材，确保性能良好，数量齐全)，并负责消防栓的维修保养。认真落实三定工作，即定人负责、定点存放、定期维护。员工必须做到一懂四会，即火灾的危险性,会使用消防设施器材，会扑灭初起之火，会正确报警，会自救（逃生）。采取有效防范措施，及时消除火险隐患。</w:t>
      </w:r>
    </w:p>
    <w:p w14:paraId="784C52A2">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2、乙方应按甲方提供的房产耐火等级、楼层负载等级进行生产经营，不得超等级经营、生产、储存易燃、易爆等化学危险品，如乙方生产需要少量化学用品，必须报当地公安消防部门审批，经批准后，方可按批准要求、范围、数量使用，不得超出批准范围。特种设备按规定进行年检、年审，取得合格证书。</w:t>
      </w:r>
    </w:p>
    <w:p w14:paraId="615436FB">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3、因生产经营的需要，对使用房产进行改造装修，拆改时，应书面征得甲方同意后，自行办理各项手续，经消防部门批准后实施。防火设计、施工必须符合国家有关消防技术规范，经验收合格后方可使用。擅自拆改租用场所，有碍消防安全的必须负责赔偿及由此造成的损失、造成事故应负法律责任。</w:t>
      </w:r>
    </w:p>
    <w:p w14:paraId="2097EDD8">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4、由于使用、保管不当，造成出租方消防设施损坏、丢失的必须负责修复或赔偿。</w:t>
      </w:r>
    </w:p>
    <w:p w14:paraId="23E45D72">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5、承租房产的单位(个人)应确保疏散通道、安全出口畅通，并设置符合国家规定的消防应急照明和消防安全疏散指示标志。</w:t>
      </w:r>
    </w:p>
    <w:p w14:paraId="69A87827">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6、承租房产作为公共娱乐场所的单位(个人)消防安全管理工作，应严格执行公安部发布的《公共娱乐场所消防安全管理规定》。</w:t>
      </w:r>
    </w:p>
    <w:p w14:paraId="1F0E0408">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7、承租房产的单位(个人)对消防安全管理工作，应严格执行《中华人民共和国消防法》、《厦门市消防条例》等相关规定。</w:t>
      </w:r>
    </w:p>
    <w:p w14:paraId="47C06D17">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8、承租单位(个人)应加强安全用电管理，承租方必须配备专(兼)职持证电工；对租赁范围内水电设施设备应经常检查，防止导线、管道及水电设施设备老化、超载、带病运行引发事故，若在租赁期间内引发安全事故（含火灾等），乙方应承担一切赔偿责任和法律责任，且甲方有权终止租赁合同。</w:t>
      </w:r>
    </w:p>
    <w:p w14:paraId="533E6E6C">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9、承租单位(个人)必须依照政府有关部门的规定办好居住证、计生审检证等证件。</w:t>
      </w:r>
    </w:p>
    <w:p w14:paraId="55B1AC12">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10、承租单位(个人)必须严格遵守《治安管理条例》，严禁在租赁场所内赌博、嫖娼、酗酒、打架斗殴、扰乱公共秩序。</w:t>
      </w:r>
    </w:p>
    <w:p w14:paraId="720E225B">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11、承租房产范围内不得存在“三合一”即厂房、仓库（包括店面、办公）、宿舍合为一体；不得明火作业，如需电、气焊，必须征得甲方同意，并清理现场直径５米范围内的可燃物，派专人、专职监护；工作结束后应认真仔细清理现场，确认已无火险隐患，方可离开现场。</w:t>
      </w:r>
    </w:p>
    <w:p w14:paraId="1CDEB718">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12、乙方在租赁期内应加强安全生产经营管理，若存在安全隐患，必须及时整改，若经市、区安全检查部门或消防部门以及甲方发出安全隐患整改通知后，乙方必须认真按通知书的要求进行整改，如拒绝整改或整改不到位，甲方有权终止本合同。</w:t>
      </w:r>
    </w:p>
    <w:p w14:paraId="3B37C80E">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三、本责任书作租赁合同的附件，具有同等法律效力，双方应明确责任，共同遵守，经双方签字(盖章)后生效，本责任书壹式叁份，甲方执贰份，乙方执壹份。</w:t>
      </w:r>
    </w:p>
    <w:p w14:paraId="0AB1653D">
      <w:pPr>
        <w:pStyle w:val="2"/>
        <w:spacing w:line="400" w:lineRule="exact"/>
        <w:rPr>
          <w:rFonts w:ascii="仿宋" w:hAnsi="仿宋" w:eastAsia="仿宋"/>
          <w:sz w:val="28"/>
          <w:szCs w:val="28"/>
        </w:rPr>
      </w:pPr>
    </w:p>
    <w:p w14:paraId="5051F37C">
      <w:pPr>
        <w:pStyle w:val="2"/>
        <w:spacing w:line="400" w:lineRule="exact"/>
        <w:rPr>
          <w:rFonts w:ascii="仿宋" w:hAnsi="仿宋" w:eastAsia="仿宋"/>
          <w:sz w:val="28"/>
          <w:szCs w:val="28"/>
        </w:rPr>
      </w:pPr>
      <w:r>
        <w:rPr>
          <w:rFonts w:hint="eastAsia" w:ascii="仿宋" w:hAnsi="仿宋" w:eastAsia="仿宋"/>
          <w:sz w:val="28"/>
          <w:szCs w:val="28"/>
        </w:rPr>
        <w:t>甲方：厦门市健益发展有限公司</w:t>
      </w:r>
      <w:r>
        <w:rPr>
          <w:rFonts w:ascii="仿宋" w:hAnsi="仿宋" w:eastAsia="仿宋"/>
          <w:sz w:val="28"/>
          <w:szCs w:val="28"/>
        </w:rPr>
        <w:t xml:space="preserve">    </w:t>
      </w:r>
      <w:r>
        <w:rPr>
          <w:rFonts w:hint="eastAsia" w:ascii="仿宋" w:hAnsi="仿宋" w:eastAsia="仿宋"/>
          <w:sz w:val="28"/>
          <w:szCs w:val="28"/>
        </w:rPr>
        <w:t>乙方：</w:t>
      </w:r>
    </w:p>
    <w:p w14:paraId="32BE6A11">
      <w:pPr>
        <w:pStyle w:val="2"/>
        <w:spacing w:line="400" w:lineRule="exact"/>
        <w:rPr>
          <w:rFonts w:ascii="仿宋" w:hAnsi="仿宋" w:eastAsia="仿宋"/>
          <w:sz w:val="28"/>
          <w:szCs w:val="28"/>
        </w:rPr>
      </w:pPr>
    </w:p>
    <w:p w14:paraId="34E42ACB">
      <w:pPr>
        <w:pStyle w:val="2"/>
        <w:spacing w:line="40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身份证号：</w:t>
      </w:r>
    </w:p>
    <w:p w14:paraId="452929C0">
      <w:pPr>
        <w:pStyle w:val="2"/>
        <w:spacing w:line="400" w:lineRule="exact"/>
        <w:rPr>
          <w:rFonts w:ascii="仿宋" w:hAnsi="仿宋" w:eastAsia="仿宋"/>
          <w:sz w:val="28"/>
          <w:szCs w:val="28"/>
        </w:rPr>
      </w:pPr>
      <w:r>
        <w:rPr>
          <w:rFonts w:hint="eastAsia" w:ascii="仿宋" w:hAnsi="仿宋" w:eastAsia="仿宋"/>
          <w:sz w:val="28"/>
          <w:szCs w:val="28"/>
        </w:rPr>
        <w:t>授权代表：</w:t>
      </w:r>
      <w:r>
        <w:rPr>
          <w:rFonts w:ascii="仿宋" w:hAnsi="仿宋" w:eastAsia="仿宋"/>
          <w:sz w:val="28"/>
          <w:szCs w:val="28"/>
        </w:rPr>
        <w:t xml:space="preserve">                      </w:t>
      </w:r>
      <w:r>
        <w:rPr>
          <w:rFonts w:hint="eastAsia" w:ascii="仿宋" w:hAnsi="仿宋" w:eastAsia="仿宋"/>
          <w:sz w:val="28"/>
          <w:szCs w:val="28"/>
        </w:rPr>
        <w:t>授权代表：</w:t>
      </w:r>
    </w:p>
    <w:p w14:paraId="500C24C9">
      <w:pPr>
        <w:pStyle w:val="2"/>
        <w:spacing w:line="400" w:lineRule="exact"/>
        <w:ind w:firstLine="3080" w:firstLineChars="1100"/>
        <w:rPr>
          <w:rFonts w:ascii="仿宋" w:hAnsi="仿宋" w:eastAsia="仿宋"/>
          <w:sz w:val="30"/>
          <w:szCs w:val="30"/>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p w14:paraId="13093447">
      <w:pPr>
        <w:jc w:val="center"/>
        <w:rPr>
          <w:rFonts w:hint="eastAsia" w:ascii="宋体" w:hAnsi="宋体"/>
          <w:b/>
          <w:bCs/>
          <w:sz w:val="36"/>
          <w:szCs w:val="36"/>
        </w:rPr>
      </w:pPr>
    </w:p>
    <w:p w14:paraId="7F88BE6C">
      <w:pPr>
        <w:jc w:val="center"/>
        <w:rPr>
          <w:rFonts w:hint="eastAsia" w:ascii="宋体" w:hAnsi="宋体"/>
          <w:b/>
          <w:bCs/>
          <w:sz w:val="36"/>
          <w:szCs w:val="36"/>
        </w:rPr>
      </w:pPr>
    </w:p>
    <w:p w14:paraId="66D01D79">
      <w:pPr>
        <w:jc w:val="center"/>
        <w:rPr>
          <w:rFonts w:ascii="宋体" w:hAnsi="宋体"/>
          <w:b/>
          <w:bCs/>
          <w:sz w:val="36"/>
          <w:szCs w:val="36"/>
        </w:rPr>
      </w:pPr>
      <w:r>
        <w:rPr>
          <w:rFonts w:hint="eastAsia" w:ascii="宋体" w:hAnsi="宋体"/>
          <w:b/>
          <w:bCs/>
          <w:sz w:val="36"/>
          <w:szCs w:val="36"/>
        </w:rPr>
        <w:t>“门前三包”责任书</w:t>
      </w:r>
    </w:p>
    <w:p w14:paraId="4E8C8295">
      <w:pPr>
        <w:spacing w:line="240" w:lineRule="exact"/>
        <w:jc w:val="center"/>
        <w:rPr>
          <w:rFonts w:ascii="仿宋" w:hAnsi="仿宋" w:eastAsia="仿宋"/>
          <w:b/>
          <w:bCs/>
          <w:sz w:val="44"/>
          <w:szCs w:val="44"/>
        </w:rPr>
      </w:pPr>
    </w:p>
    <w:p w14:paraId="24628856">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厦门市人民政府关于印发厦门市沿街单位市容环境卫生责任区制度管理办法的通知》等有关文件规定，为加强市容环境卫生管理，进一步落实“门前三包”制度，创造文明、优美、整洁的经营环境，带动“金边”项目商业繁荣，特制定本责任书。</w:t>
      </w:r>
    </w:p>
    <w:p w14:paraId="069158A5">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一、责任范围：责任人租赁（承包）经营管理场所（地）的临街建筑物外立面和相应的人行道、绿化地、空旷地、人行道边沿的台阶及水沟等区域。</w:t>
      </w:r>
    </w:p>
    <w:p w14:paraId="5D98C87E">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二、责任人负责责任范围内的环境卫生(简称包卫生)、市容环境秩序(简称包秩序)和绿化(简称包绿化)的维护与管理。具体内容与要求：</w:t>
      </w:r>
    </w:p>
    <w:p w14:paraId="6B99A43A">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包卫生：保持责任范围内的地面无痰迹、口香糖等污垢，无垃圾袋、纸屑等废弃物、无污水溢流、无蚊蝇孳生地、无卫生死角；路面、台阶、路沿、路肩、水沟、沟井口和花坛、树穴、绿地及遮阳棚顶部整洁干净；自备足够的垃圾分类收集容器收集垃圾，并放置于适当位置。</w:t>
      </w:r>
    </w:p>
    <w:p w14:paraId="1C35E40D">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包秩序：维持责任范围内的临街建筑物外立面、阳台等整洁美观、无污迹，商业橱窗摆设整齐，门牌号、门前广告招牌、夜景灯光、遮阳（雨）棚、空调室外机和排水（气）管等户外设施按要求设置，并随时保持完好和整洁；门牌号、门前广告招牌文字规范，无错、缺字现象；户外无擅自修建的水龙头和水池；无擅自修筑的连街斜道、无乱摆摊设点、跨店及超过核定面积占道经营问题；无乱张贴、乱涂写、乱悬挂、乱堆放、乱挖占、乱搭建、乱竖杆牌、乱停放车辆等影响市容观瞻和管理不规范的行为。</w:t>
      </w:r>
    </w:p>
    <w:p w14:paraId="19FFD80A">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包绿化：负责责任区范围内的花草树木生长良好，维护绿化设施完好、无损坏；及时制止和劝阻践踏草坪、攀折树木、刻划树木、借助树木搭棚和悬挂物品、损坏花草树木和绿化设施等行为；无擅自占用、人为损坏绿地的行为。责任人必须认真履行责任书明确的职责，保证责任范围的环境卫生、市容秩序和绿化管理达到规定标准。</w:t>
      </w:r>
    </w:p>
    <w:p w14:paraId="50FC7C64">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三、责任人对责任范围内发生的违章行为应当及时予以劝阻和制止，劝阻和制止无效的，应及时向有关行政执法部门报告。</w:t>
      </w:r>
    </w:p>
    <w:p w14:paraId="4210545F">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责任人应积极主动配合出租方的管理与劝导，在责任人负责的责任区内发生严重违反“门前三包”行为的，出租方有权督促责任人整改，情节严重的，出租方有权中止租赁合同，产生的损失由责任人自行承担。</w:t>
      </w:r>
    </w:p>
    <w:p w14:paraId="0307AC9B">
      <w:pPr>
        <w:adjustRightInd w:val="0"/>
        <w:snapToGrid w:val="0"/>
        <w:spacing w:line="480" w:lineRule="exact"/>
        <w:ind w:firstLine="480" w:firstLineChars="200"/>
        <w:rPr>
          <w:rFonts w:ascii="仿宋_GB2312" w:hAnsi="仿宋_GB2312" w:eastAsia="仿宋_GB2312" w:cs="仿宋_GB2312"/>
          <w:sz w:val="24"/>
        </w:rPr>
      </w:pPr>
    </w:p>
    <w:p w14:paraId="6C057767">
      <w:pPr>
        <w:adjustRightInd w:val="0"/>
        <w:snapToGrid w:val="0"/>
        <w:spacing w:line="400" w:lineRule="exact"/>
        <w:rPr>
          <w:rFonts w:ascii="仿宋" w:hAnsi="仿宋" w:eastAsia="仿宋" w:cs="宋体"/>
          <w:sz w:val="30"/>
          <w:szCs w:val="30"/>
        </w:rPr>
      </w:pPr>
      <w:r>
        <w:rPr>
          <w:rFonts w:hint="eastAsia" w:ascii="仿宋" w:hAnsi="仿宋" w:eastAsia="仿宋" w:cs="宋体"/>
          <w:sz w:val="24"/>
        </w:rPr>
        <w:t>责任人：（签名）</w:t>
      </w:r>
      <w:r>
        <w:rPr>
          <w:rFonts w:ascii="仿宋" w:hAnsi="仿宋" w:eastAsia="仿宋" w:cs="宋体"/>
          <w:sz w:val="24"/>
        </w:rPr>
        <w:t xml:space="preserve">             </w:t>
      </w:r>
    </w:p>
    <w:p w14:paraId="2B92E008">
      <w:pPr>
        <w:adjustRightInd w:val="0"/>
        <w:snapToGrid w:val="0"/>
        <w:spacing w:line="400" w:lineRule="exact"/>
        <w:rPr>
          <w:rFonts w:ascii="仿宋" w:hAnsi="仿宋" w:eastAsia="仿宋" w:cs="宋体"/>
          <w:sz w:val="30"/>
          <w:szCs w:val="30"/>
        </w:rPr>
      </w:pPr>
      <w:r>
        <w:rPr>
          <w:rFonts w:hint="eastAsia" w:ascii="仿宋" w:hAnsi="仿宋" w:eastAsia="仿宋" w:cs="宋体"/>
          <w:sz w:val="30"/>
          <w:szCs w:val="30"/>
        </w:rPr>
        <w:t>本页无内容</w:t>
      </w:r>
      <w:r>
        <w:rPr>
          <w:rFonts w:ascii="仿宋" w:hAnsi="仿宋" w:eastAsia="仿宋" w:cs="宋体"/>
          <w:sz w:val="30"/>
          <w:szCs w:val="30"/>
        </w:rPr>
        <w:t xml:space="preserve">             </w:t>
      </w:r>
      <w:r>
        <w:rPr>
          <w:rFonts w:hint="eastAsia" w:ascii="仿宋" w:hAnsi="仿宋" w:eastAsia="仿宋" w:cs="宋体"/>
          <w:sz w:val="30"/>
          <w:szCs w:val="30"/>
        </w:rPr>
        <w:t>　</w:t>
      </w:r>
      <w:r>
        <w:rPr>
          <w:rFonts w:ascii="仿宋" w:hAnsi="仿宋" w:eastAsia="仿宋" w:cs="宋体"/>
          <w:sz w:val="30"/>
          <w:szCs w:val="30"/>
        </w:rPr>
        <w:t xml:space="preserve"> </w:t>
      </w:r>
    </w:p>
    <w:p w14:paraId="4169B086">
      <w:pPr>
        <w:widowControl/>
        <w:spacing w:line="760" w:lineRule="exact"/>
        <w:ind w:right="-512" w:rightChars="-244"/>
        <w:jc w:val="center"/>
        <w:rPr>
          <w:rFonts w:ascii="仿宋_GB2312" w:hAnsi="仿宋" w:eastAsia="仿宋_GB2312" w:cs="宋体"/>
          <w:kern w:val="0"/>
          <w:sz w:val="30"/>
          <w:szCs w:val="30"/>
        </w:rPr>
        <w:sectPr>
          <w:footerReference r:id="rId3" w:type="default"/>
          <w:footerReference r:id="rId4" w:type="even"/>
          <w:pgSz w:w="11906" w:h="16838"/>
          <w:pgMar w:top="1020" w:right="1248" w:bottom="478" w:left="1438" w:header="851" w:footer="992" w:gutter="0"/>
          <w:cols w:space="720" w:num="1"/>
          <w:docGrid w:type="lines" w:linePitch="312" w:charSpace="0"/>
        </w:sectPr>
      </w:pPr>
    </w:p>
    <w:tbl>
      <w:tblPr>
        <w:tblStyle w:val="6"/>
        <w:tblW w:w="14725" w:type="dxa"/>
        <w:tblInd w:w="108" w:type="dxa"/>
        <w:tblLayout w:type="autofit"/>
        <w:tblCellMar>
          <w:top w:w="0" w:type="dxa"/>
          <w:left w:w="108" w:type="dxa"/>
          <w:bottom w:w="0" w:type="dxa"/>
          <w:right w:w="108" w:type="dxa"/>
        </w:tblCellMar>
      </w:tblPr>
      <w:tblGrid>
        <w:gridCol w:w="4599"/>
        <w:gridCol w:w="222"/>
        <w:gridCol w:w="6519"/>
        <w:gridCol w:w="2127"/>
        <w:gridCol w:w="1258"/>
      </w:tblGrid>
      <w:tr w14:paraId="149B2250">
        <w:tblPrEx>
          <w:tblCellMar>
            <w:top w:w="0" w:type="dxa"/>
            <w:left w:w="108" w:type="dxa"/>
            <w:bottom w:w="0" w:type="dxa"/>
            <w:right w:w="108" w:type="dxa"/>
          </w:tblCellMar>
        </w:tblPrEx>
        <w:trPr>
          <w:trHeight w:val="702" w:hRule="atLeast"/>
        </w:trPr>
        <w:tc>
          <w:tcPr>
            <w:tcW w:w="14725" w:type="dxa"/>
            <w:gridSpan w:val="5"/>
            <w:tcBorders>
              <w:top w:val="nil"/>
              <w:left w:val="nil"/>
              <w:bottom w:val="nil"/>
              <w:right w:val="nil"/>
            </w:tcBorders>
            <w:shd w:val="clear" w:color="auto" w:fill="auto"/>
            <w:noWrap/>
            <w:vAlign w:val="center"/>
          </w:tcPr>
          <w:p w14:paraId="4FF986A3">
            <w:pPr>
              <w:widowControl/>
              <w:jc w:val="center"/>
              <w:rPr>
                <w:rFonts w:ascii="宋体" w:hAnsi="宋体" w:cs="宋体"/>
                <w:b/>
                <w:bCs/>
                <w:kern w:val="0"/>
                <w:sz w:val="36"/>
                <w:szCs w:val="36"/>
              </w:rPr>
            </w:pPr>
            <w:r>
              <w:rPr>
                <w:rFonts w:hint="eastAsia" w:ascii="宋体" w:hAnsi="宋体" w:cs="宋体"/>
                <w:b/>
                <w:bCs/>
                <w:kern w:val="0"/>
                <w:sz w:val="36"/>
                <w:szCs w:val="36"/>
              </w:rPr>
              <w:t>房产使用权移交确认书</w:t>
            </w:r>
          </w:p>
        </w:tc>
      </w:tr>
      <w:tr w14:paraId="5F2DE30B">
        <w:tblPrEx>
          <w:tblCellMar>
            <w:top w:w="0" w:type="dxa"/>
            <w:left w:w="108" w:type="dxa"/>
            <w:bottom w:w="0" w:type="dxa"/>
            <w:right w:w="108" w:type="dxa"/>
          </w:tblCellMar>
        </w:tblPrEx>
        <w:trPr>
          <w:trHeight w:val="559" w:hRule="atLeast"/>
        </w:trPr>
        <w:tc>
          <w:tcPr>
            <w:tcW w:w="4599" w:type="dxa"/>
            <w:tcBorders>
              <w:top w:val="nil"/>
              <w:left w:val="nil"/>
              <w:bottom w:val="nil"/>
              <w:right w:val="nil"/>
            </w:tcBorders>
            <w:shd w:val="clear" w:color="auto" w:fill="auto"/>
            <w:noWrap/>
            <w:vAlign w:val="center"/>
          </w:tcPr>
          <w:p w14:paraId="3D402152">
            <w:pPr>
              <w:widowControl/>
              <w:jc w:val="center"/>
              <w:rPr>
                <w:rFonts w:ascii="宋体" w:hAnsi="宋体" w:cs="宋体"/>
                <w:b/>
                <w:bCs/>
                <w:kern w:val="0"/>
                <w:sz w:val="36"/>
                <w:szCs w:val="36"/>
              </w:rPr>
            </w:pPr>
          </w:p>
        </w:tc>
        <w:tc>
          <w:tcPr>
            <w:tcW w:w="222" w:type="dxa"/>
            <w:tcBorders>
              <w:top w:val="nil"/>
              <w:left w:val="nil"/>
              <w:bottom w:val="nil"/>
              <w:right w:val="nil"/>
            </w:tcBorders>
            <w:shd w:val="clear" w:color="auto" w:fill="auto"/>
            <w:noWrap/>
            <w:vAlign w:val="center"/>
          </w:tcPr>
          <w:p w14:paraId="59F7FB51">
            <w:pPr>
              <w:widowControl/>
              <w:jc w:val="left"/>
              <w:rPr>
                <w:rFonts w:eastAsia="Times New Roman"/>
                <w:kern w:val="0"/>
                <w:sz w:val="20"/>
                <w:szCs w:val="20"/>
              </w:rPr>
            </w:pPr>
          </w:p>
        </w:tc>
        <w:tc>
          <w:tcPr>
            <w:tcW w:w="9904" w:type="dxa"/>
            <w:gridSpan w:val="3"/>
            <w:tcBorders>
              <w:top w:val="nil"/>
              <w:left w:val="nil"/>
              <w:bottom w:val="single" w:color="auto" w:sz="4" w:space="0"/>
              <w:right w:val="nil"/>
            </w:tcBorders>
            <w:shd w:val="clear" w:color="auto" w:fill="auto"/>
            <w:noWrap/>
            <w:vAlign w:val="center"/>
          </w:tcPr>
          <w:p w14:paraId="797BB9CC">
            <w:pPr>
              <w:widowControl/>
              <w:jc w:val="right"/>
              <w:rPr>
                <w:rFonts w:ascii="仿宋_GB2312" w:hAnsi="仿宋_GB2312" w:eastAsia="仿宋_GB2312" w:cs="宋体"/>
                <w:kern w:val="0"/>
                <w:sz w:val="24"/>
              </w:rPr>
            </w:pPr>
            <w:r>
              <w:rPr>
                <w:rFonts w:hint="eastAsia" w:ascii="仿宋_GB2312" w:hAnsi="仿宋_GB2312" w:eastAsia="仿宋_GB2312" w:cs="宋体"/>
                <w:kern w:val="0"/>
                <w:sz w:val="24"/>
              </w:rPr>
              <w:t xml:space="preserve">移交时间：   年  月  日    </w:t>
            </w:r>
          </w:p>
        </w:tc>
      </w:tr>
      <w:tr w14:paraId="1DECC437">
        <w:tblPrEx>
          <w:tblCellMar>
            <w:top w:w="0" w:type="dxa"/>
            <w:left w:w="108" w:type="dxa"/>
            <w:bottom w:w="0" w:type="dxa"/>
            <w:right w:w="108" w:type="dxa"/>
          </w:tblCellMar>
        </w:tblPrEx>
        <w:trPr>
          <w:trHeight w:val="702" w:hRule="atLeast"/>
        </w:trPr>
        <w:tc>
          <w:tcPr>
            <w:tcW w:w="4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6CEF9">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房屋坐落</w:t>
            </w:r>
          </w:p>
        </w:tc>
        <w:tc>
          <w:tcPr>
            <w:tcW w:w="6741" w:type="dxa"/>
            <w:gridSpan w:val="2"/>
            <w:tcBorders>
              <w:top w:val="single" w:color="auto" w:sz="4" w:space="0"/>
              <w:left w:val="nil"/>
              <w:bottom w:val="single" w:color="auto" w:sz="4" w:space="0"/>
              <w:right w:val="nil"/>
            </w:tcBorders>
            <w:shd w:val="clear" w:color="auto" w:fill="auto"/>
            <w:noWrap/>
            <w:vAlign w:val="center"/>
          </w:tcPr>
          <w:p w14:paraId="6A600FA2">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c>
          <w:tcPr>
            <w:tcW w:w="2127" w:type="dxa"/>
            <w:tcBorders>
              <w:top w:val="nil"/>
              <w:left w:val="single" w:color="auto" w:sz="4" w:space="0"/>
              <w:bottom w:val="single" w:color="auto" w:sz="4" w:space="0"/>
              <w:right w:val="single" w:color="auto" w:sz="4" w:space="0"/>
            </w:tcBorders>
            <w:shd w:val="clear" w:color="auto" w:fill="auto"/>
            <w:noWrap/>
            <w:vAlign w:val="center"/>
          </w:tcPr>
          <w:p w14:paraId="35A7237D">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面积（</w:t>
            </w:r>
            <w:r>
              <w:rPr>
                <w:rFonts w:hint="eastAsia" w:ascii="宋体" w:hAnsi="宋体" w:cs="宋体"/>
                <w:kern w:val="0"/>
                <w:sz w:val="24"/>
              </w:rPr>
              <w:t>㎡</w:t>
            </w:r>
            <w:r>
              <w:rPr>
                <w:rFonts w:hint="eastAsia" w:ascii="仿宋_GB2312" w:hAnsi="仿宋_GB2312" w:eastAsia="仿宋_GB2312" w:cs="宋体"/>
                <w:kern w:val="0"/>
                <w:sz w:val="24"/>
              </w:rPr>
              <w:t>）：</w:t>
            </w:r>
          </w:p>
        </w:tc>
        <w:tc>
          <w:tcPr>
            <w:tcW w:w="1258" w:type="dxa"/>
            <w:tcBorders>
              <w:top w:val="nil"/>
              <w:left w:val="nil"/>
              <w:bottom w:val="single" w:color="auto" w:sz="4" w:space="0"/>
              <w:right w:val="single" w:color="auto" w:sz="4" w:space="0"/>
            </w:tcBorders>
            <w:shd w:val="clear" w:color="auto" w:fill="auto"/>
            <w:noWrap/>
            <w:vAlign w:val="center"/>
          </w:tcPr>
          <w:p w14:paraId="44A25DB1">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备注</w:t>
            </w:r>
          </w:p>
        </w:tc>
      </w:tr>
      <w:tr w14:paraId="6707E154">
        <w:tblPrEx>
          <w:tblCellMar>
            <w:top w:w="0" w:type="dxa"/>
            <w:left w:w="108" w:type="dxa"/>
            <w:bottom w:w="0" w:type="dxa"/>
            <w:right w:w="108" w:type="dxa"/>
          </w:tblCellMar>
        </w:tblPrEx>
        <w:trPr>
          <w:trHeight w:val="702" w:hRule="atLeast"/>
        </w:trPr>
        <w:tc>
          <w:tcPr>
            <w:tcW w:w="4599" w:type="dxa"/>
            <w:vMerge w:val="restart"/>
            <w:tcBorders>
              <w:top w:val="nil"/>
              <w:left w:val="single" w:color="auto" w:sz="4" w:space="0"/>
              <w:bottom w:val="single" w:color="000000" w:sz="4" w:space="0"/>
              <w:right w:val="single" w:color="auto" w:sz="4" w:space="0"/>
            </w:tcBorders>
            <w:shd w:val="clear" w:color="auto" w:fill="auto"/>
            <w:noWrap/>
            <w:vAlign w:val="center"/>
          </w:tcPr>
          <w:p w14:paraId="5D3E4F2D">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配套情况</w:t>
            </w:r>
          </w:p>
        </w:tc>
        <w:tc>
          <w:tcPr>
            <w:tcW w:w="8868" w:type="dxa"/>
            <w:gridSpan w:val="3"/>
            <w:tcBorders>
              <w:top w:val="single" w:color="auto" w:sz="4" w:space="0"/>
              <w:left w:val="nil"/>
              <w:bottom w:val="single" w:color="auto" w:sz="4" w:space="0"/>
              <w:right w:val="single" w:color="000000" w:sz="4" w:space="0"/>
            </w:tcBorders>
            <w:shd w:val="clear" w:color="auto" w:fill="auto"/>
            <w:vAlign w:val="center"/>
          </w:tcPr>
          <w:p w14:paraId="160C7531">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主体结构：</w:t>
            </w:r>
          </w:p>
        </w:tc>
        <w:tc>
          <w:tcPr>
            <w:tcW w:w="1258" w:type="dxa"/>
            <w:vMerge w:val="restart"/>
            <w:tcBorders>
              <w:top w:val="nil"/>
              <w:left w:val="single" w:color="auto" w:sz="4" w:space="0"/>
              <w:bottom w:val="single" w:color="000000" w:sz="4" w:space="0"/>
              <w:right w:val="single" w:color="auto" w:sz="4" w:space="0"/>
            </w:tcBorders>
            <w:shd w:val="clear" w:color="auto" w:fill="auto"/>
            <w:vAlign w:val="center"/>
          </w:tcPr>
          <w:p w14:paraId="623B70E2">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r>
      <w:tr w14:paraId="1E754148">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702C2CE8">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218ED0C5">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门：                              ；窗：</w:t>
            </w:r>
          </w:p>
        </w:tc>
        <w:tc>
          <w:tcPr>
            <w:tcW w:w="1258" w:type="dxa"/>
            <w:vMerge w:val="continue"/>
            <w:tcBorders>
              <w:top w:val="nil"/>
              <w:left w:val="single" w:color="auto" w:sz="4" w:space="0"/>
              <w:bottom w:val="single" w:color="000000" w:sz="4" w:space="0"/>
              <w:right w:val="single" w:color="auto" w:sz="4" w:space="0"/>
            </w:tcBorders>
            <w:vAlign w:val="center"/>
          </w:tcPr>
          <w:p w14:paraId="4355F033">
            <w:pPr>
              <w:widowControl/>
              <w:jc w:val="left"/>
              <w:rPr>
                <w:rFonts w:ascii="仿宋_GB2312" w:hAnsi="仿宋_GB2312" w:eastAsia="仿宋_GB2312" w:cs="宋体"/>
                <w:kern w:val="0"/>
                <w:sz w:val="24"/>
              </w:rPr>
            </w:pPr>
          </w:p>
        </w:tc>
      </w:tr>
      <w:tr w14:paraId="1BD7D72E">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561CA34E">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7BDBE589">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用水：                            ；用电：</w:t>
            </w:r>
          </w:p>
        </w:tc>
        <w:tc>
          <w:tcPr>
            <w:tcW w:w="1258" w:type="dxa"/>
            <w:vMerge w:val="continue"/>
            <w:tcBorders>
              <w:top w:val="nil"/>
              <w:left w:val="single" w:color="auto" w:sz="4" w:space="0"/>
              <w:bottom w:val="single" w:color="000000" w:sz="4" w:space="0"/>
              <w:right w:val="single" w:color="auto" w:sz="4" w:space="0"/>
            </w:tcBorders>
            <w:vAlign w:val="center"/>
          </w:tcPr>
          <w:p w14:paraId="300F3971">
            <w:pPr>
              <w:widowControl/>
              <w:jc w:val="left"/>
              <w:rPr>
                <w:rFonts w:ascii="仿宋_GB2312" w:hAnsi="仿宋_GB2312" w:eastAsia="仿宋_GB2312" w:cs="宋体"/>
                <w:kern w:val="0"/>
                <w:sz w:val="24"/>
              </w:rPr>
            </w:pPr>
          </w:p>
        </w:tc>
      </w:tr>
      <w:tr w14:paraId="61E65BA9">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0E052BF1">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0ACD98CF">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卫生：</w:t>
            </w:r>
          </w:p>
        </w:tc>
        <w:tc>
          <w:tcPr>
            <w:tcW w:w="1258" w:type="dxa"/>
            <w:vMerge w:val="continue"/>
            <w:tcBorders>
              <w:top w:val="nil"/>
              <w:left w:val="single" w:color="auto" w:sz="4" w:space="0"/>
              <w:bottom w:val="single" w:color="000000" w:sz="4" w:space="0"/>
              <w:right w:val="single" w:color="auto" w:sz="4" w:space="0"/>
            </w:tcBorders>
            <w:vAlign w:val="center"/>
          </w:tcPr>
          <w:p w14:paraId="4C4F639B">
            <w:pPr>
              <w:widowControl/>
              <w:jc w:val="left"/>
              <w:rPr>
                <w:rFonts w:ascii="仿宋_GB2312" w:hAnsi="仿宋_GB2312" w:eastAsia="仿宋_GB2312" w:cs="宋体"/>
                <w:kern w:val="0"/>
                <w:sz w:val="24"/>
              </w:rPr>
            </w:pPr>
          </w:p>
        </w:tc>
      </w:tr>
      <w:tr w14:paraId="5DCF3916">
        <w:tblPrEx>
          <w:tblCellMar>
            <w:top w:w="0" w:type="dxa"/>
            <w:left w:w="108" w:type="dxa"/>
            <w:bottom w:w="0" w:type="dxa"/>
            <w:right w:w="108" w:type="dxa"/>
          </w:tblCellMar>
        </w:tblPrEx>
        <w:trPr>
          <w:trHeight w:val="702" w:hRule="atLeast"/>
        </w:trPr>
        <w:tc>
          <w:tcPr>
            <w:tcW w:w="4599" w:type="dxa"/>
            <w:tcBorders>
              <w:top w:val="nil"/>
              <w:left w:val="single" w:color="auto" w:sz="4" w:space="0"/>
              <w:bottom w:val="single" w:color="auto" w:sz="4" w:space="0"/>
              <w:right w:val="single" w:color="auto" w:sz="4" w:space="0"/>
            </w:tcBorders>
            <w:shd w:val="clear" w:color="auto" w:fill="auto"/>
            <w:vAlign w:val="center"/>
          </w:tcPr>
          <w:p w14:paraId="17E62338">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其他</w:t>
            </w:r>
          </w:p>
        </w:tc>
        <w:tc>
          <w:tcPr>
            <w:tcW w:w="8868" w:type="dxa"/>
            <w:gridSpan w:val="3"/>
            <w:tcBorders>
              <w:top w:val="single" w:color="auto" w:sz="4" w:space="0"/>
              <w:left w:val="nil"/>
              <w:bottom w:val="single" w:color="auto" w:sz="4" w:space="0"/>
              <w:right w:val="nil"/>
            </w:tcBorders>
            <w:shd w:val="clear" w:color="auto" w:fill="auto"/>
            <w:noWrap/>
            <w:vAlign w:val="center"/>
          </w:tcPr>
          <w:p w14:paraId="6302863F">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c>
          <w:tcPr>
            <w:tcW w:w="1258" w:type="dxa"/>
            <w:vMerge w:val="continue"/>
            <w:tcBorders>
              <w:top w:val="nil"/>
              <w:left w:val="single" w:color="auto" w:sz="4" w:space="0"/>
              <w:bottom w:val="single" w:color="000000" w:sz="4" w:space="0"/>
              <w:right w:val="single" w:color="auto" w:sz="4" w:space="0"/>
            </w:tcBorders>
            <w:vAlign w:val="center"/>
          </w:tcPr>
          <w:p w14:paraId="5248045E">
            <w:pPr>
              <w:widowControl/>
              <w:jc w:val="left"/>
              <w:rPr>
                <w:rFonts w:ascii="仿宋_GB2312" w:hAnsi="仿宋_GB2312" w:eastAsia="仿宋_GB2312" w:cs="宋体"/>
                <w:kern w:val="0"/>
                <w:sz w:val="24"/>
              </w:rPr>
            </w:pPr>
          </w:p>
        </w:tc>
      </w:tr>
      <w:tr w14:paraId="76E5737A">
        <w:tblPrEx>
          <w:tblCellMar>
            <w:top w:w="0" w:type="dxa"/>
            <w:left w:w="108" w:type="dxa"/>
            <w:bottom w:w="0" w:type="dxa"/>
            <w:right w:w="108" w:type="dxa"/>
          </w:tblCellMar>
        </w:tblPrEx>
        <w:trPr>
          <w:trHeight w:val="420" w:hRule="atLeast"/>
        </w:trPr>
        <w:tc>
          <w:tcPr>
            <w:tcW w:w="4599" w:type="dxa"/>
            <w:tcBorders>
              <w:top w:val="nil"/>
              <w:left w:val="nil"/>
              <w:bottom w:val="nil"/>
              <w:right w:val="nil"/>
            </w:tcBorders>
            <w:shd w:val="clear" w:color="auto" w:fill="auto"/>
            <w:noWrap/>
            <w:vAlign w:val="center"/>
          </w:tcPr>
          <w:p w14:paraId="381FF4A3">
            <w:pPr>
              <w:widowControl/>
              <w:jc w:val="center"/>
              <w:rPr>
                <w:rFonts w:ascii="仿宋_GB2312" w:hAnsi="仿宋_GB2312" w:eastAsia="仿宋_GB2312" w:cs="宋体"/>
                <w:kern w:val="0"/>
                <w:sz w:val="24"/>
              </w:rPr>
            </w:pPr>
          </w:p>
        </w:tc>
        <w:tc>
          <w:tcPr>
            <w:tcW w:w="222" w:type="dxa"/>
            <w:tcBorders>
              <w:top w:val="nil"/>
              <w:left w:val="nil"/>
              <w:bottom w:val="nil"/>
              <w:right w:val="nil"/>
            </w:tcBorders>
            <w:shd w:val="clear" w:color="auto" w:fill="auto"/>
            <w:noWrap/>
            <w:vAlign w:val="center"/>
          </w:tcPr>
          <w:p w14:paraId="706FE4A2">
            <w:pPr>
              <w:widowControl/>
              <w:jc w:val="center"/>
              <w:rPr>
                <w:rFonts w:eastAsia="Times New Roman"/>
                <w:kern w:val="0"/>
                <w:sz w:val="20"/>
                <w:szCs w:val="20"/>
              </w:rPr>
            </w:pPr>
          </w:p>
        </w:tc>
        <w:tc>
          <w:tcPr>
            <w:tcW w:w="6519" w:type="dxa"/>
            <w:tcBorders>
              <w:top w:val="nil"/>
              <w:left w:val="nil"/>
              <w:bottom w:val="nil"/>
              <w:right w:val="nil"/>
            </w:tcBorders>
            <w:shd w:val="clear" w:color="auto" w:fill="auto"/>
            <w:noWrap/>
            <w:vAlign w:val="center"/>
          </w:tcPr>
          <w:p w14:paraId="0480C509">
            <w:pPr>
              <w:widowControl/>
              <w:jc w:val="center"/>
              <w:rPr>
                <w:rFonts w:eastAsia="Times New Roman"/>
                <w:kern w:val="0"/>
                <w:sz w:val="20"/>
                <w:szCs w:val="20"/>
              </w:rPr>
            </w:pPr>
          </w:p>
        </w:tc>
        <w:tc>
          <w:tcPr>
            <w:tcW w:w="2127" w:type="dxa"/>
            <w:tcBorders>
              <w:top w:val="nil"/>
              <w:left w:val="nil"/>
              <w:bottom w:val="nil"/>
              <w:right w:val="nil"/>
            </w:tcBorders>
            <w:shd w:val="clear" w:color="auto" w:fill="auto"/>
            <w:noWrap/>
            <w:vAlign w:val="center"/>
          </w:tcPr>
          <w:p w14:paraId="5838A343">
            <w:pPr>
              <w:widowControl/>
              <w:jc w:val="center"/>
              <w:rPr>
                <w:rFonts w:eastAsia="Times New Roman"/>
                <w:kern w:val="0"/>
                <w:sz w:val="20"/>
                <w:szCs w:val="20"/>
              </w:rPr>
            </w:pPr>
          </w:p>
        </w:tc>
        <w:tc>
          <w:tcPr>
            <w:tcW w:w="1258" w:type="dxa"/>
            <w:tcBorders>
              <w:top w:val="nil"/>
              <w:left w:val="nil"/>
              <w:bottom w:val="nil"/>
              <w:right w:val="nil"/>
            </w:tcBorders>
            <w:shd w:val="clear" w:color="auto" w:fill="auto"/>
            <w:vAlign w:val="center"/>
          </w:tcPr>
          <w:p w14:paraId="238489D7">
            <w:pPr>
              <w:widowControl/>
              <w:jc w:val="center"/>
              <w:rPr>
                <w:rFonts w:eastAsia="Times New Roman"/>
                <w:kern w:val="0"/>
                <w:sz w:val="20"/>
                <w:szCs w:val="20"/>
              </w:rPr>
            </w:pPr>
          </w:p>
        </w:tc>
      </w:tr>
      <w:tr w14:paraId="6E04C82B">
        <w:tblPrEx>
          <w:tblCellMar>
            <w:top w:w="0" w:type="dxa"/>
            <w:left w:w="108" w:type="dxa"/>
            <w:bottom w:w="0" w:type="dxa"/>
            <w:right w:w="108" w:type="dxa"/>
          </w:tblCellMar>
        </w:tblPrEx>
        <w:trPr>
          <w:trHeight w:val="702" w:hRule="atLeast"/>
        </w:trPr>
        <w:tc>
          <w:tcPr>
            <w:tcW w:w="4821" w:type="dxa"/>
            <w:gridSpan w:val="2"/>
            <w:tcBorders>
              <w:top w:val="nil"/>
              <w:left w:val="nil"/>
              <w:bottom w:val="nil"/>
              <w:right w:val="nil"/>
            </w:tcBorders>
            <w:shd w:val="clear" w:color="auto" w:fill="auto"/>
            <w:noWrap/>
            <w:vAlign w:val="center"/>
          </w:tcPr>
          <w:p w14:paraId="78495D9D">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移交方:厦门市健益发展有限公司   </w:t>
            </w:r>
          </w:p>
        </w:tc>
        <w:tc>
          <w:tcPr>
            <w:tcW w:w="9904" w:type="dxa"/>
            <w:gridSpan w:val="3"/>
            <w:tcBorders>
              <w:top w:val="nil"/>
              <w:left w:val="nil"/>
              <w:bottom w:val="nil"/>
              <w:right w:val="nil"/>
            </w:tcBorders>
            <w:shd w:val="clear" w:color="auto" w:fill="auto"/>
            <w:noWrap/>
            <w:vAlign w:val="center"/>
          </w:tcPr>
          <w:p w14:paraId="68B92A45">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接收方： </w:t>
            </w:r>
          </w:p>
        </w:tc>
      </w:tr>
      <w:tr w14:paraId="1265E494">
        <w:tblPrEx>
          <w:tblCellMar>
            <w:top w:w="0" w:type="dxa"/>
            <w:left w:w="108" w:type="dxa"/>
            <w:bottom w:w="0" w:type="dxa"/>
            <w:right w:w="108" w:type="dxa"/>
          </w:tblCellMar>
        </w:tblPrEx>
        <w:trPr>
          <w:trHeight w:val="702" w:hRule="atLeast"/>
        </w:trPr>
        <w:tc>
          <w:tcPr>
            <w:tcW w:w="4821" w:type="dxa"/>
            <w:gridSpan w:val="2"/>
            <w:tcBorders>
              <w:top w:val="nil"/>
              <w:left w:val="nil"/>
              <w:bottom w:val="nil"/>
              <w:right w:val="nil"/>
            </w:tcBorders>
            <w:shd w:val="clear" w:color="auto" w:fill="auto"/>
            <w:noWrap/>
            <w:vAlign w:val="center"/>
          </w:tcPr>
          <w:p w14:paraId="02F364FC">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代表签字:                       </w:t>
            </w:r>
          </w:p>
        </w:tc>
        <w:tc>
          <w:tcPr>
            <w:tcW w:w="9904" w:type="dxa"/>
            <w:gridSpan w:val="3"/>
            <w:tcBorders>
              <w:top w:val="nil"/>
              <w:left w:val="nil"/>
              <w:bottom w:val="nil"/>
              <w:right w:val="nil"/>
            </w:tcBorders>
            <w:shd w:val="clear" w:color="auto" w:fill="auto"/>
            <w:noWrap/>
            <w:vAlign w:val="center"/>
          </w:tcPr>
          <w:p w14:paraId="562BC3CF">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代表签字:</w:t>
            </w:r>
          </w:p>
        </w:tc>
      </w:tr>
      <w:tr w14:paraId="7C40CA7C">
        <w:tblPrEx>
          <w:tblCellMar>
            <w:top w:w="0" w:type="dxa"/>
            <w:left w:w="108" w:type="dxa"/>
            <w:bottom w:w="0" w:type="dxa"/>
            <w:right w:w="108" w:type="dxa"/>
          </w:tblCellMar>
        </w:tblPrEx>
        <w:trPr>
          <w:trHeight w:val="702" w:hRule="atLeast"/>
        </w:trPr>
        <w:tc>
          <w:tcPr>
            <w:tcW w:w="4821" w:type="dxa"/>
            <w:gridSpan w:val="2"/>
            <w:tcBorders>
              <w:top w:val="nil"/>
              <w:left w:val="nil"/>
              <w:bottom w:val="nil"/>
              <w:right w:val="nil"/>
            </w:tcBorders>
            <w:shd w:val="clear" w:color="auto" w:fill="auto"/>
            <w:noWrap/>
            <w:vAlign w:val="center"/>
          </w:tcPr>
          <w:p w14:paraId="65279BA4">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联系电话：7029678             </w:t>
            </w:r>
          </w:p>
        </w:tc>
        <w:tc>
          <w:tcPr>
            <w:tcW w:w="9904" w:type="dxa"/>
            <w:gridSpan w:val="3"/>
            <w:tcBorders>
              <w:top w:val="nil"/>
              <w:left w:val="nil"/>
              <w:bottom w:val="nil"/>
              <w:right w:val="nil"/>
            </w:tcBorders>
            <w:shd w:val="clear" w:color="auto" w:fill="auto"/>
            <w:noWrap/>
            <w:vAlign w:val="center"/>
          </w:tcPr>
          <w:p w14:paraId="1218B399">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联系电话：</w:t>
            </w:r>
          </w:p>
        </w:tc>
      </w:tr>
    </w:tbl>
    <w:p w14:paraId="0CDE5692"/>
    <w:sectPr>
      <w:footerReference r:id="rId5" w:type="default"/>
      <w:footerReference r:id="rId6" w:type="even"/>
      <w:pgSz w:w="16838" w:h="11906" w:orient="landscape"/>
      <w:pgMar w:top="1418" w:right="1020" w:bottom="1418"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2B4AB">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10</w:t>
    </w:r>
    <w:r>
      <w:fldChar w:fldCharType="end"/>
    </w:r>
  </w:p>
  <w:p w14:paraId="69FFFDE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EDF2E">
    <w:pPr>
      <w:pStyle w:val="3"/>
      <w:framePr w:wrap="around" w:vAnchor="text" w:hAnchor="margin" w:xAlign="center" w:y="1"/>
      <w:rPr>
        <w:rStyle w:val="8"/>
      </w:rPr>
    </w:pPr>
    <w:r>
      <w:fldChar w:fldCharType="begin"/>
    </w:r>
    <w:r>
      <w:rPr>
        <w:rStyle w:val="8"/>
      </w:rPr>
      <w:instrText xml:space="preserve">PAGE  </w:instrText>
    </w:r>
    <w:r>
      <w:fldChar w:fldCharType="end"/>
    </w:r>
  </w:p>
  <w:p w14:paraId="7697A0D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55AE6">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11</w:t>
    </w:r>
    <w:r>
      <w:fldChar w:fldCharType="end"/>
    </w:r>
  </w:p>
  <w:p w14:paraId="000F877F">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BC7E">
    <w:pPr>
      <w:pStyle w:val="3"/>
      <w:framePr w:wrap="around" w:vAnchor="text" w:hAnchor="margin" w:xAlign="center" w:y="1"/>
      <w:rPr>
        <w:rStyle w:val="8"/>
      </w:rPr>
    </w:pPr>
    <w:r>
      <w:fldChar w:fldCharType="begin"/>
    </w:r>
    <w:r>
      <w:rPr>
        <w:rStyle w:val="8"/>
      </w:rPr>
      <w:instrText xml:space="preserve">PAGE  </w:instrText>
    </w:r>
    <w:r>
      <w:fldChar w:fldCharType="end"/>
    </w:r>
  </w:p>
  <w:p w14:paraId="0BBBFEC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2ED4C"/>
    <w:multiLevelType w:val="singleLevel"/>
    <w:tmpl w:val="5E12ED4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77659C1"/>
    <w:rsid w:val="0076554F"/>
    <w:rsid w:val="00B508C7"/>
    <w:rsid w:val="00DD01EF"/>
    <w:rsid w:val="01E33631"/>
    <w:rsid w:val="03DB4771"/>
    <w:rsid w:val="05C50002"/>
    <w:rsid w:val="0701218C"/>
    <w:rsid w:val="0E4231EE"/>
    <w:rsid w:val="10453F4C"/>
    <w:rsid w:val="11610F9C"/>
    <w:rsid w:val="12F07466"/>
    <w:rsid w:val="161B0F23"/>
    <w:rsid w:val="189E668D"/>
    <w:rsid w:val="1BB90E2F"/>
    <w:rsid w:val="1C3704C2"/>
    <w:rsid w:val="2008396A"/>
    <w:rsid w:val="2020147D"/>
    <w:rsid w:val="215D225D"/>
    <w:rsid w:val="21EF4BB4"/>
    <w:rsid w:val="239631F6"/>
    <w:rsid w:val="23BA3996"/>
    <w:rsid w:val="24997A50"/>
    <w:rsid w:val="28D118A7"/>
    <w:rsid w:val="2BE16DEE"/>
    <w:rsid w:val="2D92328E"/>
    <w:rsid w:val="2F9F15C5"/>
    <w:rsid w:val="31762BE0"/>
    <w:rsid w:val="39424E2B"/>
    <w:rsid w:val="39FF2184"/>
    <w:rsid w:val="3CF23A9A"/>
    <w:rsid w:val="3F1B4198"/>
    <w:rsid w:val="3F6E78E2"/>
    <w:rsid w:val="4B123E65"/>
    <w:rsid w:val="506B4501"/>
    <w:rsid w:val="51B14C29"/>
    <w:rsid w:val="577659C1"/>
    <w:rsid w:val="57CC1C62"/>
    <w:rsid w:val="5A5C23A0"/>
    <w:rsid w:val="5EDE7D87"/>
    <w:rsid w:val="5FD35A4C"/>
    <w:rsid w:val="60AB5DFE"/>
    <w:rsid w:val="625E6EAC"/>
    <w:rsid w:val="64A84B6A"/>
    <w:rsid w:val="67DA7730"/>
    <w:rsid w:val="6BC227A3"/>
    <w:rsid w:val="6C245870"/>
    <w:rsid w:val="70EA6EB8"/>
    <w:rsid w:val="717F18C4"/>
    <w:rsid w:val="71CF3CD4"/>
    <w:rsid w:val="73EA0CFB"/>
    <w:rsid w:val="75EF084A"/>
    <w:rsid w:val="78D9133E"/>
    <w:rsid w:val="7EF24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styleId="8">
    <w:name w:val="page number"/>
    <w:basedOn w:val="7"/>
    <w:qFormat/>
    <w:uiPriority w:val="0"/>
  </w:style>
  <w:style w:type="character" w:customStyle="1" w:styleId="9">
    <w:name w:val="页眉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7008</Words>
  <Characters>7088</Characters>
  <Lines>58</Lines>
  <Paragraphs>16</Paragraphs>
  <TotalTime>30</TotalTime>
  <ScaleCrop>false</ScaleCrop>
  <LinksUpToDate>false</LinksUpToDate>
  <CharactersWithSpaces>7994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2021-12-11T02:30:00Z</dcterms:created>
  <dc:creator>Administrator</dc:creator>
  <cp:lastModifiedBy>欢乐豆</cp:lastModifiedBy>
  <cp:lastPrinted>2025-11-14T02:33:46Z</cp:lastPrinted>
  <dcterms:modified xsi:type="dcterms:W3CDTF">2025-11-14T02:39:26Z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eyJoZGlkIjoiYjlhODNjMGExNThjODhhZjgyMGM0ZDgwZTY2YTM3NGEiLCJ1c2VySWQiOiIzODAwMzkwNzYifQ==</vt:lpwstr>
  </property>
  <property fmtid="{D5CDD505-2E9C-101B-9397-08002B2CF9AE}" pid="4" name="ICV">
    <vt:lpwstr>334632727E584BD5A2BDFC9D968C48A7_12</vt:lpwstr>
  </property>
</Properties>
</file>