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414BC">
      <w:pPr>
        <w:widowControl/>
        <w:spacing w:line="580" w:lineRule="exact"/>
        <w:jc w:val="center"/>
        <w:rPr>
          <w:rFonts w:ascii="宋体" w:hAnsi="宋体" w:cs="宋体"/>
          <w:b/>
          <w:kern w:val="0"/>
          <w:sz w:val="36"/>
          <w:szCs w:val="36"/>
        </w:rPr>
      </w:pPr>
      <w:r>
        <w:rPr>
          <w:rFonts w:hint="eastAsia" w:ascii="宋体" w:hAnsi="宋体" w:cs="宋体"/>
          <w:b/>
          <w:kern w:val="0"/>
          <w:sz w:val="36"/>
          <w:szCs w:val="36"/>
        </w:rPr>
        <w:t>房 屋 租 赁 合 同</w:t>
      </w:r>
    </w:p>
    <w:p w14:paraId="4529B70A">
      <w:pPr>
        <w:widowControl/>
        <w:spacing w:line="520" w:lineRule="exact"/>
        <w:jc w:val="center"/>
        <w:rPr>
          <w:rFonts w:ascii="仿宋_GB2312" w:hAnsi="仿宋" w:eastAsia="仿宋_GB2312" w:cs="宋体"/>
          <w:b/>
          <w:kern w:val="0"/>
          <w:sz w:val="24"/>
        </w:rPr>
      </w:pPr>
      <w:r>
        <w:rPr>
          <w:rFonts w:hint="eastAsia" w:ascii="仿宋_GB2312" w:hAnsi="仿宋" w:eastAsia="仿宋_GB2312" w:cs="宋体"/>
          <w:b/>
          <w:kern w:val="0"/>
          <w:sz w:val="24"/>
        </w:rPr>
        <w:t xml:space="preserve">                                    合同编号［    ］№</w:t>
      </w:r>
      <w:r>
        <w:rPr>
          <w:rFonts w:hint="eastAsia" w:ascii="仿宋_GB2312" w:hAnsi="仿宋" w:eastAsia="仿宋_GB2312"/>
          <w:b/>
          <w:kern w:val="0"/>
          <w:sz w:val="24"/>
          <w:u w:val="single"/>
        </w:rPr>
        <w:t xml:space="preserve">      </w:t>
      </w:r>
      <w:r>
        <w:rPr>
          <w:rFonts w:hint="eastAsia" w:ascii="仿宋_GB2312" w:hAnsi="仿宋" w:eastAsia="仿宋_GB2312" w:cs="宋体"/>
          <w:b/>
          <w:kern w:val="0"/>
          <w:sz w:val="24"/>
        </w:rPr>
        <w:t>号（</w:t>
      </w:r>
      <w:r>
        <w:rPr>
          <w:rFonts w:hint="eastAsia" w:cs="宋体"/>
          <w:b/>
          <w:kern w:val="0"/>
          <w:sz w:val="24"/>
        </w:rPr>
        <w:t xml:space="preserve">  </w:t>
      </w:r>
      <w:r>
        <w:rPr>
          <w:rFonts w:hint="eastAsia" w:ascii="仿宋_GB2312" w:hAnsi="仿宋" w:eastAsia="仿宋_GB2312" w:cs="宋体"/>
          <w:b/>
          <w:kern w:val="0"/>
          <w:sz w:val="24"/>
        </w:rPr>
        <w:t>）</w:t>
      </w:r>
    </w:p>
    <w:p w14:paraId="6D921036">
      <w:pPr>
        <w:widowControl/>
        <w:spacing w:line="520" w:lineRule="exact"/>
        <w:jc w:val="center"/>
        <w:rPr>
          <w:rFonts w:ascii="仿宋_GB2312" w:hAnsi="仿宋" w:eastAsia="仿宋_GB2312" w:cs="宋体"/>
          <w:b/>
          <w:kern w:val="0"/>
          <w:sz w:val="24"/>
        </w:rPr>
      </w:pPr>
      <w:r>
        <w:rPr>
          <w:rFonts w:hint="eastAsia" w:ascii="仿宋_GB2312" w:hAnsi="仿宋" w:eastAsia="仿宋_GB2312" w:cs="宋体"/>
          <w:b/>
          <w:kern w:val="0"/>
          <w:sz w:val="24"/>
        </w:rPr>
        <w:t>（样稿）</w:t>
      </w:r>
    </w:p>
    <w:p w14:paraId="56920E3C">
      <w:pPr>
        <w:widowControl/>
        <w:spacing w:line="520" w:lineRule="exact"/>
        <w:ind w:left="-540" w:leftChars="-257" w:right="-512" w:rightChars="-244" w:firstLine="434" w:firstLineChars="180"/>
        <w:jc w:val="left"/>
        <w:rPr>
          <w:rFonts w:hint="eastAsia" w:ascii="仿宋_GB2312" w:hAnsi="仿宋" w:eastAsia="仿宋_GB2312" w:cs="宋体"/>
          <w:kern w:val="0"/>
          <w:sz w:val="24"/>
          <w:u w:val="single"/>
        </w:rPr>
      </w:pPr>
      <w:r>
        <w:rPr>
          <w:rFonts w:hint="eastAsia" w:ascii="仿宋_GB2312" w:hAnsi="仿宋" w:eastAsia="仿宋_GB2312" w:cs="宋体"/>
          <w:b/>
          <w:bCs/>
          <w:kern w:val="0"/>
          <w:sz w:val="24"/>
        </w:rPr>
        <w:t>出租方（甲方）：</w:t>
      </w:r>
      <w:r>
        <w:rPr>
          <w:rFonts w:hint="eastAsia" w:ascii="仿宋_GB2312" w:hAnsi="仿宋_GB2312" w:eastAsia="仿宋_GB2312" w:cs="仿宋_GB2312"/>
          <w:kern w:val="0"/>
          <w:sz w:val="24"/>
          <w:szCs w:val="24"/>
          <w:u w:val="single"/>
          <w:lang w:val="zh-CN"/>
        </w:rPr>
        <w:t>厦门同安国有资本控股</w:t>
      </w:r>
      <w:r>
        <w:rPr>
          <w:rFonts w:hint="eastAsia" w:ascii="仿宋_GB2312" w:hAnsi="仿宋_GB2312" w:eastAsia="仿宋_GB2312" w:cs="仿宋_GB2312"/>
          <w:kern w:val="0"/>
          <w:sz w:val="24"/>
          <w:szCs w:val="24"/>
          <w:u w:val="single"/>
          <w:lang w:val="zh-CN" w:eastAsia="zh-CN"/>
        </w:rPr>
        <w:t>集团</w:t>
      </w:r>
      <w:r>
        <w:rPr>
          <w:rFonts w:hint="eastAsia" w:ascii="仿宋_GB2312" w:hAnsi="仿宋_GB2312" w:eastAsia="仿宋_GB2312" w:cs="仿宋_GB2312"/>
          <w:kern w:val="0"/>
          <w:sz w:val="24"/>
          <w:szCs w:val="24"/>
          <w:u w:val="single"/>
          <w:lang w:val="zh-CN"/>
        </w:rPr>
        <w:t>有限公司</w:t>
      </w:r>
    </w:p>
    <w:p w14:paraId="29ED67AC">
      <w:pPr>
        <w:widowControl/>
        <w:spacing w:line="520" w:lineRule="exact"/>
        <w:ind w:left="-540" w:leftChars="-257" w:right="-512" w:rightChars="-244" w:firstLine="434" w:firstLineChars="180"/>
        <w:jc w:val="left"/>
        <w:rPr>
          <w:rFonts w:hint="eastAsia" w:ascii="仿宋_GB2312" w:hAnsi="仿宋" w:eastAsia="仿宋_GB2312" w:cs="宋体"/>
          <w:kern w:val="0"/>
          <w:sz w:val="24"/>
          <w:u w:val="single"/>
          <w:lang w:val="en-US" w:eastAsia="zh-CN"/>
        </w:rPr>
      </w:pPr>
      <w:r>
        <w:rPr>
          <w:rFonts w:hint="eastAsia" w:ascii="仿宋_GB2312" w:hAnsi="仿宋" w:eastAsia="仿宋_GB2312" w:cs="宋体"/>
          <w:b/>
          <w:bCs/>
          <w:kern w:val="0"/>
          <w:sz w:val="24"/>
        </w:rPr>
        <w:t>统一社会信用代码：</w:t>
      </w:r>
      <w:r>
        <w:rPr>
          <w:rFonts w:hint="eastAsia" w:ascii="仿宋_GB2312" w:hAnsi="仿宋" w:eastAsia="仿宋_GB2312" w:cs="宋体"/>
          <w:kern w:val="0"/>
          <w:sz w:val="24"/>
          <w:u w:val="single"/>
        </w:rPr>
        <w:t>91350200MACE33GJ3U</w:t>
      </w:r>
      <w:r>
        <w:rPr>
          <w:rFonts w:hint="eastAsia" w:ascii="仿宋_GB2312" w:hAnsi="仿宋" w:eastAsia="仿宋_GB2312" w:cs="宋体"/>
          <w:kern w:val="0"/>
          <w:sz w:val="24"/>
          <w:u w:val="single"/>
          <w:lang w:val="en-US" w:eastAsia="zh-CN"/>
        </w:rPr>
        <w:t xml:space="preserve"> </w:t>
      </w:r>
    </w:p>
    <w:p w14:paraId="2F6B6662">
      <w:pPr>
        <w:widowControl/>
        <w:spacing w:line="520" w:lineRule="exact"/>
        <w:ind w:left="-540" w:leftChars="-257" w:right="-512" w:rightChars="-244" w:firstLine="434" w:firstLineChars="180"/>
        <w:jc w:val="left"/>
        <w:rPr>
          <w:rFonts w:hint="eastAsia" w:ascii="仿宋_GB2312" w:hAnsi="仿宋" w:eastAsia="仿宋_GB2312" w:cs="宋体"/>
          <w:b/>
          <w:bCs/>
          <w:kern w:val="0"/>
          <w:sz w:val="24"/>
          <w:u w:val="single"/>
        </w:rPr>
      </w:pPr>
      <w:r>
        <w:rPr>
          <w:rFonts w:hint="eastAsia" w:ascii="仿宋_GB2312" w:hAnsi="仿宋" w:eastAsia="仿宋_GB2312" w:cs="宋体"/>
          <w:b/>
          <w:bCs/>
          <w:kern w:val="0"/>
          <w:sz w:val="24"/>
        </w:rPr>
        <w:t>住址：</w:t>
      </w:r>
      <w:r>
        <w:rPr>
          <w:rFonts w:hint="eastAsia" w:ascii="仿宋_GB2312" w:hAnsi="仿宋" w:eastAsia="仿宋_GB2312" w:cs="宋体"/>
          <w:kern w:val="0"/>
          <w:sz w:val="24"/>
          <w:u w:val="single"/>
        </w:rPr>
        <w:t>同安区祥平街道银湖里16号202室</w:t>
      </w:r>
      <w:r>
        <w:rPr>
          <w:rFonts w:hint="eastAsia" w:ascii="仿宋_GB2312" w:hAnsi="仿宋" w:eastAsia="仿宋_GB2312" w:cs="宋体"/>
          <w:b/>
          <w:bCs/>
          <w:kern w:val="0"/>
          <w:sz w:val="24"/>
          <w:u w:val="single"/>
        </w:rPr>
        <w:t xml:space="preserve">   </w:t>
      </w:r>
    </w:p>
    <w:p w14:paraId="1E212823">
      <w:pPr>
        <w:widowControl/>
        <w:spacing w:line="520" w:lineRule="exact"/>
        <w:ind w:left="-540" w:leftChars="-257" w:right="-512" w:rightChars="-244" w:firstLine="434" w:firstLineChars="180"/>
        <w:jc w:val="left"/>
        <w:rPr>
          <w:rFonts w:hint="default" w:ascii="仿宋_GB2312" w:hAnsi="仿宋" w:eastAsia="仿宋_GB2312" w:cs="宋体"/>
          <w:b/>
          <w:bCs/>
          <w:kern w:val="0"/>
          <w:sz w:val="24"/>
          <w:u w:val="single"/>
          <w:lang w:val="en-US" w:eastAsia="zh-CN"/>
        </w:rPr>
      </w:pPr>
      <w:r>
        <w:rPr>
          <w:rFonts w:hint="eastAsia" w:ascii="仿宋_GB2312" w:hAnsi="仿宋" w:eastAsia="仿宋_GB2312" w:cs="宋体"/>
          <w:b/>
          <w:bCs/>
          <w:kern w:val="0"/>
          <w:sz w:val="24"/>
        </w:rPr>
        <w:t>联系人：</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u w:val="single"/>
          <w:lang w:val="en-US" w:eastAsia="zh-CN"/>
        </w:rPr>
        <w:t xml:space="preserve"> </w:t>
      </w:r>
      <w:r>
        <w:rPr>
          <w:rFonts w:hint="eastAsia" w:ascii="仿宋_GB2312" w:hAnsi="仿宋" w:eastAsia="仿宋_GB2312" w:cs="宋体"/>
          <w:kern w:val="0"/>
          <w:sz w:val="24"/>
          <w:u w:val="single"/>
          <w:lang w:eastAsia="zh-CN"/>
        </w:rPr>
        <w:t>邵碰狮</w:t>
      </w:r>
      <w:r>
        <w:rPr>
          <w:rFonts w:hint="eastAsia" w:ascii="仿宋_GB2312" w:hAnsi="仿宋" w:eastAsia="仿宋_GB2312" w:cs="宋体"/>
          <w:kern w:val="0"/>
          <w:sz w:val="24"/>
          <w:u w:val="single"/>
        </w:rPr>
        <w:t xml:space="preserve"> </w:t>
      </w:r>
      <w:r>
        <w:rPr>
          <w:rFonts w:hint="eastAsia" w:ascii="仿宋_GB2312" w:hAnsi="仿宋" w:eastAsia="仿宋_GB2312" w:cs="宋体"/>
          <w:b/>
          <w:bCs/>
          <w:kern w:val="0"/>
          <w:sz w:val="24"/>
          <w:u w:val="single"/>
        </w:rPr>
        <w:t xml:space="preserve"> </w:t>
      </w:r>
      <w:r>
        <w:rPr>
          <w:rFonts w:hint="eastAsia" w:ascii="仿宋_GB2312" w:hAnsi="仿宋" w:eastAsia="仿宋_GB2312" w:cs="宋体"/>
          <w:b/>
          <w:bCs/>
          <w:kern w:val="0"/>
          <w:sz w:val="24"/>
          <w:u w:val="single"/>
          <w:lang w:val="en-US" w:eastAsia="zh-CN"/>
        </w:rPr>
        <w:t xml:space="preserve">  </w:t>
      </w:r>
    </w:p>
    <w:p w14:paraId="4726BA81">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联系电话：</w:t>
      </w:r>
      <w:r>
        <w:rPr>
          <w:rFonts w:hint="eastAsia" w:ascii="仿宋_GB2312" w:hAnsi="仿宋" w:eastAsia="仿宋_GB2312" w:cs="宋体"/>
          <w:kern w:val="0"/>
          <w:sz w:val="24"/>
          <w:u w:val="single"/>
        </w:rPr>
        <w:t xml:space="preserve">  0592-7559579</w:t>
      </w:r>
      <w:r>
        <w:rPr>
          <w:rFonts w:hint="eastAsia" w:ascii="仿宋_GB2312" w:hAnsi="仿宋" w:eastAsia="仿宋_GB2312" w:cs="宋体"/>
          <w:b/>
          <w:bCs/>
          <w:kern w:val="0"/>
          <w:sz w:val="24"/>
          <w:u w:val="single"/>
        </w:rPr>
        <w:t xml:space="preserve"> </w:t>
      </w:r>
      <w:r>
        <w:rPr>
          <w:rFonts w:hint="eastAsia" w:ascii="仿宋_GB2312" w:hAnsi="仿宋" w:eastAsia="仿宋_GB2312" w:cs="宋体"/>
          <w:kern w:val="0"/>
          <w:sz w:val="24"/>
          <w:u w:val="single"/>
        </w:rPr>
        <w:t xml:space="preserve">  </w:t>
      </w:r>
    </w:p>
    <w:p w14:paraId="5B8DA2E9">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电子邮箱：</w:t>
      </w:r>
      <w:r>
        <w:rPr>
          <w:rFonts w:hint="eastAsia" w:ascii="仿宋_GB2312" w:hAnsi="仿宋" w:eastAsia="仿宋_GB2312" w:cs="宋体"/>
          <w:kern w:val="0"/>
          <w:sz w:val="24"/>
          <w:u w:val="single"/>
        </w:rPr>
        <w:t xml:space="preserve">                 </w:t>
      </w:r>
    </w:p>
    <w:p w14:paraId="2881BF71">
      <w:pPr>
        <w:widowControl/>
        <w:spacing w:line="520" w:lineRule="exact"/>
        <w:ind w:left="-540" w:leftChars="-257" w:right="-512" w:rightChars="-244" w:firstLine="434" w:firstLineChars="180"/>
        <w:jc w:val="left"/>
        <w:rPr>
          <w:rFonts w:ascii="仿宋_GB2312" w:hAnsi="仿宋" w:eastAsia="仿宋_GB2312" w:cs="宋体"/>
          <w:kern w:val="0"/>
          <w:sz w:val="24"/>
          <w:u w:val="single"/>
        </w:rPr>
      </w:pPr>
      <w:r>
        <w:rPr>
          <w:rFonts w:hint="eastAsia" w:ascii="仿宋_GB2312" w:hAnsi="仿宋" w:eastAsia="仿宋_GB2312" w:cs="宋体"/>
          <w:b/>
          <w:bCs/>
          <w:kern w:val="0"/>
          <w:sz w:val="24"/>
        </w:rPr>
        <w:t>传真：</w:t>
      </w:r>
      <w:r>
        <w:rPr>
          <w:rFonts w:hint="eastAsia" w:ascii="仿宋_GB2312" w:hAnsi="仿宋" w:eastAsia="仿宋_GB2312" w:cs="宋体"/>
          <w:kern w:val="0"/>
          <w:sz w:val="24"/>
          <w:u w:val="single"/>
        </w:rPr>
        <w:t xml:space="preserve">                     </w:t>
      </w:r>
    </w:p>
    <w:p w14:paraId="53176670">
      <w:pPr>
        <w:widowControl/>
        <w:spacing w:line="520" w:lineRule="exact"/>
        <w:ind w:left="-540" w:leftChars="-257" w:right="-512" w:rightChars="-244" w:firstLine="432" w:firstLineChars="180"/>
        <w:jc w:val="left"/>
        <w:rPr>
          <w:rFonts w:ascii="仿宋_GB2312" w:hAnsi="仿宋" w:eastAsia="仿宋_GB2312" w:cs="宋体"/>
          <w:kern w:val="0"/>
          <w:sz w:val="24"/>
          <w:u w:val="single"/>
        </w:rPr>
      </w:pPr>
    </w:p>
    <w:p w14:paraId="2D08BFED">
      <w:pPr>
        <w:widowControl/>
        <w:spacing w:line="520" w:lineRule="exact"/>
        <w:ind w:left="-540" w:leftChars="-257" w:right="-512" w:rightChars="-244" w:firstLine="434" w:firstLineChars="180"/>
        <w:jc w:val="left"/>
        <w:rPr>
          <w:rFonts w:ascii="仿宋_GB2312" w:hAnsi="仿宋" w:eastAsia="仿宋_GB2312" w:cs="宋体"/>
          <w:kern w:val="0"/>
          <w:sz w:val="24"/>
          <w:u w:val="single"/>
        </w:rPr>
      </w:pPr>
      <w:r>
        <w:rPr>
          <w:rFonts w:hint="eastAsia" w:ascii="仿宋_GB2312" w:hAnsi="仿宋" w:eastAsia="仿宋_GB2312" w:cs="宋体"/>
          <w:b/>
          <w:bCs/>
          <w:kern w:val="0"/>
          <w:sz w:val="24"/>
        </w:rPr>
        <w:t xml:space="preserve">承租方（乙方） </w:t>
      </w:r>
      <w:r>
        <w:rPr>
          <w:rFonts w:hint="eastAsia" w:ascii="仿宋_GB2312" w:hAnsi="仿宋" w:eastAsia="仿宋_GB2312" w:cs="宋体"/>
          <w:kern w:val="0"/>
          <w:sz w:val="24"/>
        </w:rPr>
        <w:t>：</w:t>
      </w:r>
      <w:r>
        <w:rPr>
          <w:rFonts w:hint="eastAsia" w:ascii="仿宋_GB2312" w:hAnsi="仿宋" w:eastAsia="仿宋_GB2312" w:cs="宋体"/>
          <w:kern w:val="0"/>
          <w:sz w:val="24"/>
          <w:u w:val="single"/>
        </w:rPr>
        <w:t xml:space="preserve">                   </w:t>
      </w:r>
    </w:p>
    <w:p w14:paraId="63E20C0E">
      <w:pPr>
        <w:widowControl/>
        <w:spacing w:line="520" w:lineRule="exact"/>
        <w:ind w:left="-540" w:leftChars="-257" w:right="-512" w:rightChars="-244" w:firstLine="434" w:firstLineChars="180"/>
        <w:jc w:val="left"/>
        <w:rPr>
          <w:rFonts w:ascii="仿宋_GB2312" w:hAnsi="仿宋" w:eastAsia="仿宋_GB2312" w:cs="宋体"/>
          <w:kern w:val="0"/>
          <w:sz w:val="24"/>
          <w:u w:val="single"/>
        </w:rPr>
      </w:pPr>
      <w:r>
        <w:rPr>
          <w:rFonts w:hint="eastAsia" w:ascii="仿宋_GB2312" w:hAnsi="仿宋" w:eastAsia="仿宋_GB2312" w:cs="宋体"/>
          <w:b/>
          <w:bCs/>
          <w:kern w:val="0"/>
          <w:sz w:val="24"/>
        </w:rPr>
        <w:t>统一社会信用代码（公民身份证号）</w:t>
      </w:r>
      <w:r>
        <w:rPr>
          <w:rFonts w:hint="eastAsia" w:ascii="仿宋_GB2312" w:hAnsi="仿宋" w:eastAsia="仿宋_GB2312" w:cs="宋体"/>
          <w:kern w:val="0"/>
          <w:sz w:val="24"/>
          <w:u w:val="single"/>
        </w:rPr>
        <w:t xml:space="preserve">：              </w:t>
      </w:r>
    </w:p>
    <w:p w14:paraId="41AEB3B5">
      <w:pPr>
        <w:widowControl/>
        <w:spacing w:line="520" w:lineRule="exact"/>
        <w:ind w:left="-540" w:leftChars="-257" w:right="-512" w:rightChars="-244" w:firstLine="434" w:firstLineChars="180"/>
        <w:jc w:val="left"/>
        <w:rPr>
          <w:rFonts w:ascii="仿宋_GB2312" w:eastAsia="仿宋_GB2312" w:cs="宋体" w:hAnsiTheme="minorEastAsia"/>
          <w:bCs/>
          <w:kern w:val="0"/>
          <w:sz w:val="24"/>
          <w:u w:val="single"/>
        </w:rPr>
      </w:pPr>
      <w:r>
        <w:rPr>
          <w:rFonts w:hint="eastAsia" w:ascii="仿宋_GB2312" w:hAnsi="仿宋" w:eastAsia="仿宋_GB2312" w:cs="宋体"/>
          <w:b/>
          <w:bCs/>
          <w:kern w:val="0"/>
          <w:sz w:val="24"/>
        </w:rPr>
        <w:t>住址：</w:t>
      </w:r>
      <w:r>
        <w:rPr>
          <w:rFonts w:hint="eastAsia" w:ascii="仿宋_GB2312" w:eastAsia="仿宋_GB2312" w:cs="宋体" w:hAnsiTheme="minorEastAsia"/>
          <w:kern w:val="0"/>
          <w:sz w:val="24"/>
          <w:u w:val="single"/>
        </w:rPr>
        <w:t xml:space="preserve">                    </w:t>
      </w:r>
    </w:p>
    <w:p w14:paraId="113272F7">
      <w:pPr>
        <w:widowControl/>
        <w:spacing w:line="520" w:lineRule="exact"/>
        <w:ind w:left="-540" w:leftChars="-257" w:right="-512" w:rightChars="-244" w:firstLine="434" w:firstLineChars="180"/>
        <w:jc w:val="left"/>
        <w:rPr>
          <w:rFonts w:ascii="仿宋_GB2312" w:hAnsi="仿宋" w:eastAsia="仿宋_GB2312" w:cs="宋体"/>
          <w:kern w:val="0"/>
          <w:sz w:val="24"/>
          <w:u w:val="single"/>
        </w:rPr>
      </w:pPr>
      <w:r>
        <w:rPr>
          <w:rFonts w:hint="eastAsia" w:ascii="仿宋_GB2312" w:hAnsi="仿宋" w:eastAsia="仿宋_GB2312" w:cs="宋体"/>
          <w:b/>
          <w:bCs/>
          <w:kern w:val="0"/>
          <w:sz w:val="24"/>
        </w:rPr>
        <w:t>联系人：</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u w:val="single"/>
          <w:lang w:val="en-US" w:eastAsia="zh-CN"/>
        </w:rPr>
        <w:t xml:space="preserve">    </w:t>
      </w:r>
      <w:r>
        <w:rPr>
          <w:rFonts w:hint="eastAsia" w:ascii="仿宋_GB2312" w:hAnsi="仿宋" w:eastAsia="仿宋_GB2312" w:cs="宋体"/>
          <w:kern w:val="0"/>
          <w:sz w:val="24"/>
          <w:u w:val="single"/>
        </w:rPr>
        <w:t xml:space="preserve"> </w:t>
      </w:r>
    </w:p>
    <w:p w14:paraId="6C344379">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联系电话：</w:t>
      </w:r>
      <w:r>
        <w:rPr>
          <w:rFonts w:hint="eastAsia" w:ascii="仿宋_GB2312" w:hAnsi="仿宋" w:eastAsia="仿宋_GB2312" w:cs="宋体"/>
          <w:bCs/>
          <w:kern w:val="0"/>
          <w:sz w:val="24"/>
          <w:u w:val="single"/>
        </w:rPr>
        <w:t xml:space="preserve">                </w:t>
      </w:r>
    </w:p>
    <w:p w14:paraId="5767F062">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电子邮箱：</w:t>
      </w:r>
      <w:r>
        <w:rPr>
          <w:rFonts w:hint="eastAsia" w:ascii="仿宋_GB2312" w:hAnsi="仿宋" w:eastAsia="仿宋_GB2312" w:cs="宋体"/>
          <w:b/>
          <w:bCs/>
          <w:kern w:val="0"/>
          <w:sz w:val="24"/>
          <w:u w:val="single"/>
        </w:rPr>
        <w:t xml:space="preserve">         </w:t>
      </w:r>
      <w:r>
        <w:rPr>
          <w:rFonts w:hint="eastAsia" w:ascii="仿宋_GB2312" w:hAnsi="仿宋" w:eastAsia="仿宋_GB2312" w:cs="宋体"/>
          <w:b/>
          <w:bCs/>
          <w:kern w:val="0"/>
          <w:sz w:val="24"/>
          <w:u w:val="single"/>
          <w:lang w:val="en-US" w:eastAsia="zh-CN"/>
        </w:rPr>
        <w:t xml:space="preserve">    </w:t>
      </w:r>
      <w:r>
        <w:rPr>
          <w:rFonts w:hint="eastAsia" w:ascii="仿宋_GB2312" w:hAnsi="仿宋" w:eastAsia="仿宋_GB2312" w:cs="宋体"/>
          <w:b/>
          <w:bCs/>
          <w:kern w:val="0"/>
          <w:sz w:val="24"/>
          <w:u w:val="single"/>
        </w:rPr>
        <w:t xml:space="preserve">   </w:t>
      </w:r>
    </w:p>
    <w:p w14:paraId="0E11499E">
      <w:pPr>
        <w:widowControl/>
        <w:spacing w:line="520" w:lineRule="exact"/>
        <w:ind w:left="-540" w:leftChars="-257" w:right="-512" w:rightChars="-244" w:firstLine="434" w:firstLineChars="180"/>
        <w:jc w:val="left"/>
        <w:rPr>
          <w:rFonts w:ascii="仿宋_GB2312" w:hAnsi="仿宋" w:eastAsia="仿宋_GB2312" w:cs="宋体"/>
          <w:kern w:val="0"/>
          <w:sz w:val="24"/>
          <w:u w:val="single"/>
        </w:rPr>
      </w:pPr>
      <w:r>
        <w:rPr>
          <w:rFonts w:hint="eastAsia" w:ascii="仿宋_GB2312" w:hAnsi="仿宋" w:eastAsia="仿宋_GB2312" w:cs="宋体"/>
          <w:b/>
          <w:bCs/>
          <w:kern w:val="0"/>
          <w:sz w:val="24"/>
        </w:rPr>
        <w:t>传真：</w:t>
      </w:r>
      <w:r>
        <w:rPr>
          <w:rFonts w:hint="eastAsia" w:ascii="仿宋_GB2312" w:hAnsi="仿宋" w:eastAsia="仿宋_GB2312" w:cs="宋体"/>
          <w:b/>
          <w:bCs/>
          <w:kern w:val="0"/>
          <w:sz w:val="24"/>
          <w:u w:val="single"/>
        </w:rPr>
        <w:t xml:space="preserve">    </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u w:val="single"/>
          <w:lang w:val="en-US" w:eastAsia="zh-CN"/>
        </w:rPr>
        <w:t xml:space="preserve">   </w:t>
      </w:r>
      <w:bookmarkStart w:id="6" w:name="_GoBack"/>
      <w:bookmarkEnd w:id="6"/>
      <w:r>
        <w:rPr>
          <w:rFonts w:hint="eastAsia" w:ascii="仿宋_GB2312" w:hAnsi="仿宋" w:eastAsia="仿宋_GB2312" w:cs="宋体"/>
          <w:kern w:val="0"/>
          <w:sz w:val="24"/>
          <w:u w:val="single"/>
        </w:rPr>
        <w:t xml:space="preserve">  </w:t>
      </w:r>
    </w:p>
    <w:p w14:paraId="2D0E8B88">
      <w:pPr>
        <w:widowControl/>
        <w:spacing w:line="520" w:lineRule="exact"/>
        <w:ind w:left="-540" w:leftChars="-257" w:right="-512" w:rightChars="-244" w:firstLine="432" w:firstLineChars="180"/>
        <w:jc w:val="left"/>
        <w:rPr>
          <w:rFonts w:ascii="仿宋_GB2312" w:hAnsi="仿宋" w:eastAsia="仿宋_GB2312" w:cs="宋体"/>
          <w:kern w:val="0"/>
          <w:sz w:val="24"/>
          <w:u w:val="single"/>
        </w:rPr>
      </w:pPr>
    </w:p>
    <w:p w14:paraId="35ADE025">
      <w:pPr>
        <w:widowControl/>
        <w:spacing w:line="520" w:lineRule="exact"/>
        <w:ind w:left="-540" w:leftChars="-257" w:right="-512" w:rightChars="-244" w:firstLine="432" w:firstLineChars="180"/>
        <w:jc w:val="left"/>
        <w:rPr>
          <w:rFonts w:ascii="仿宋_GB2312" w:hAnsi="仿宋" w:eastAsia="仿宋_GB2312" w:cs="宋体"/>
          <w:kern w:val="0"/>
          <w:sz w:val="24"/>
        </w:rPr>
      </w:pPr>
      <w:r>
        <w:rPr>
          <w:rFonts w:hint="eastAsia" w:ascii="仿宋_GB2312" w:hAnsi="仿宋" w:eastAsia="仿宋_GB2312" w:cs="宋体"/>
          <w:kern w:val="0"/>
          <w:sz w:val="24"/>
        </w:rPr>
        <w:t>根据《中华人民共和国</w:t>
      </w:r>
      <w:r>
        <w:rPr>
          <w:rFonts w:hint="eastAsia" w:ascii="仿宋_GB2312" w:hAnsi="仿宋_GB2312" w:eastAsia="仿宋_GB2312" w:cs="仿宋_GB2312"/>
          <w:sz w:val="24"/>
        </w:rPr>
        <w:t>民法典</w:t>
      </w:r>
      <w:r>
        <w:rPr>
          <w:rFonts w:hint="eastAsia" w:ascii="仿宋_GB2312" w:hAnsi="仿宋" w:eastAsia="仿宋_GB2312" w:cs="宋体"/>
          <w:kern w:val="0"/>
          <w:sz w:val="24"/>
        </w:rPr>
        <w:t>》及相关法律法规的规定，乙方对甲方出租的房屋现状已充分了解，自愿承租该房屋，为明确甲、乙双方权利义务，在平等自愿基础上，经协商一致，订立本合同。</w:t>
      </w:r>
    </w:p>
    <w:p w14:paraId="61AE1715">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 xml:space="preserve">第一条  租赁房屋基本情况 </w:t>
      </w:r>
    </w:p>
    <w:p w14:paraId="2722C173">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甲方出租的房屋坐落于</w:t>
      </w:r>
      <w:r>
        <w:rPr>
          <w:rFonts w:hint="eastAsia" w:ascii="仿宋" w:hAnsi="仿宋" w:eastAsia="仿宋" w:cs="宋体"/>
          <w:kern w:val="0"/>
          <w:sz w:val="24"/>
          <w:u w:val="single"/>
        </w:rPr>
        <w:t xml:space="preserve">             </w:t>
      </w:r>
      <w:r>
        <w:rPr>
          <w:rFonts w:hint="eastAsia" w:ascii="仿宋_GB2312" w:hAnsi="仿宋" w:eastAsia="仿宋_GB2312" w:cs="宋体"/>
          <w:kern w:val="0"/>
          <w:sz w:val="24"/>
        </w:rPr>
        <w:t>，建筑面积约</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 xml:space="preserve">平方米。   </w:t>
      </w:r>
    </w:p>
    <w:p w14:paraId="6055AD1F">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第二条  房屋租赁期限及用途限制</w:t>
      </w:r>
    </w:p>
    <w:p w14:paraId="4FC13728">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1、房屋租赁期限自</w:t>
      </w:r>
      <w:r>
        <w:rPr>
          <w:rFonts w:hint="eastAsia" w:ascii="仿宋" w:hAnsi="仿宋" w:eastAsia="仿宋" w:cs="宋体"/>
          <w:kern w:val="0"/>
          <w:sz w:val="24"/>
          <w:u w:val="single"/>
        </w:rPr>
        <w:t xml:space="preserve">  </w:t>
      </w:r>
      <w:r>
        <w:rPr>
          <w:rFonts w:hint="eastAsia" w:ascii="仿宋" w:hAnsi="仿宋" w:eastAsia="仿宋" w:cs="宋体"/>
          <w:kern w:val="0"/>
          <w:sz w:val="24"/>
          <w:u w:val="single"/>
          <w:lang w:val="en-US" w:eastAsia="zh-CN"/>
        </w:rPr>
        <w:t xml:space="preserve">  </w:t>
      </w:r>
      <w:r>
        <w:rPr>
          <w:rFonts w:hint="eastAsia" w:ascii="仿宋" w:hAnsi="仿宋" w:eastAsia="仿宋" w:cs="宋体"/>
          <w:kern w:val="0"/>
          <w:sz w:val="24"/>
          <w:u w:val="single"/>
        </w:rPr>
        <w:t xml:space="preserve"> </w:t>
      </w:r>
      <w:r>
        <w:rPr>
          <w:rFonts w:hint="eastAsia" w:ascii="仿宋" w:hAnsi="仿宋" w:eastAsia="仿宋" w:cs="宋体"/>
          <w:kern w:val="0"/>
          <w:sz w:val="24"/>
        </w:rPr>
        <w:t>年</w:t>
      </w:r>
      <w:r>
        <w:rPr>
          <w:rFonts w:hint="eastAsia" w:ascii="仿宋" w:hAnsi="仿宋" w:eastAsia="仿宋" w:cs="宋体"/>
          <w:kern w:val="0"/>
          <w:sz w:val="24"/>
          <w:u w:val="single"/>
        </w:rPr>
        <w:t xml:space="preserve">     </w:t>
      </w:r>
      <w:r>
        <w:rPr>
          <w:rFonts w:hint="eastAsia" w:ascii="仿宋" w:hAnsi="仿宋" w:eastAsia="仿宋" w:cs="宋体"/>
          <w:kern w:val="0"/>
          <w:sz w:val="24"/>
        </w:rPr>
        <w:t>月</w:t>
      </w:r>
      <w:r>
        <w:rPr>
          <w:rFonts w:hint="eastAsia" w:ascii="仿宋" w:hAnsi="仿宋" w:eastAsia="仿宋" w:cs="宋体"/>
          <w:kern w:val="0"/>
          <w:sz w:val="24"/>
          <w:u w:val="single"/>
        </w:rPr>
        <w:t xml:space="preserve">     </w:t>
      </w:r>
      <w:r>
        <w:rPr>
          <w:rFonts w:hint="eastAsia" w:ascii="仿宋" w:hAnsi="仿宋" w:eastAsia="仿宋" w:cs="宋体"/>
          <w:kern w:val="0"/>
          <w:sz w:val="24"/>
        </w:rPr>
        <w:t>日起至</w:t>
      </w:r>
      <w:r>
        <w:rPr>
          <w:rFonts w:hint="eastAsia" w:ascii="仿宋" w:hAnsi="仿宋" w:eastAsia="仿宋" w:cs="宋体"/>
          <w:kern w:val="0"/>
          <w:sz w:val="24"/>
          <w:u w:val="single"/>
        </w:rPr>
        <w:t xml:space="preserve">     </w:t>
      </w:r>
      <w:r>
        <w:rPr>
          <w:rFonts w:hint="eastAsia" w:ascii="仿宋" w:hAnsi="仿宋" w:eastAsia="仿宋" w:cs="宋体"/>
          <w:kern w:val="0"/>
          <w:sz w:val="24"/>
        </w:rPr>
        <w:t>年</w:t>
      </w:r>
      <w:r>
        <w:rPr>
          <w:rFonts w:hint="eastAsia" w:ascii="仿宋" w:hAnsi="仿宋" w:eastAsia="仿宋" w:cs="宋体"/>
          <w:kern w:val="0"/>
          <w:sz w:val="24"/>
          <w:u w:val="single"/>
        </w:rPr>
        <w:t xml:space="preserve">     </w:t>
      </w:r>
      <w:r>
        <w:rPr>
          <w:rFonts w:hint="eastAsia" w:ascii="仿宋" w:hAnsi="仿宋" w:eastAsia="仿宋" w:cs="宋体"/>
          <w:kern w:val="0"/>
          <w:sz w:val="24"/>
        </w:rPr>
        <w:t>月</w:t>
      </w:r>
      <w:r>
        <w:rPr>
          <w:rFonts w:hint="eastAsia" w:ascii="仿宋" w:hAnsi="仿宋" w:eastAsia="仿宋" w:cs="宋体"/>
          <w:kern w:val="0"/>
          <w:sz w:val="24"/>
          <w:u w:val="single"/>
        </w:rPr>
        <w:t xml:space="preserve">    </w:t>
      </w:r>
      <w:r>
        <w:rPr>
          <w:rFonts w:hint="eastAsia" w:ascii="仿宋_GB2312" w:hAnsi="仿宋" w:eastAsia="仿宋_GB2312" w:cs="宋体"/>
          <w:kern w:val="0"/>
          <w:sz w:val="24"/>
        </w:rPr>
        <w:t>日止。</w:t>
      </w:r>
    </w:p>
    <w:p w14:paraId="0A3D9EEA">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2、租赁的房屋用途仅作为</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使用，房产只能按现状进行经营使用，不得另作他用。乙方不得在空地上随意建设、不得违章搭建、从事无照经营或其他违法经营活动。</w:t>
      </w:r>
    </w:p>
    <w:p w14:paraId="2749EF40">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ascii="仿宋_GB2312" w:hAnsi="仿宋" w:eastAsia="仿宋_GB2312" w:cs="宋体"/>
          <w:kern w:val="0"/>
          <w:sz w:val="24"/>
        </w:rPr>
        <w:pict>
          <v:shape id="_x0000_s2053" o:spid="_x0000_s2053" o:spt="32" type="#_x0000_t32" style="position:absolute;left:0pt;flip:y;margin-left:251.6pt;margin-top:7.25pt;height:13.5pt;width:11.25pt;z-index:251660288;mso-width-relative:page;mso-height-relative:page;" o:connectortype="straight" filled="f" coordsize="21600,21600">
            <v:path arrowok="t"/>
            <v:fill on="f" focussize="0,0"/>
            <v:stroke/>
            <v:imagedata o:title=""/>
            <o:lock v:ext="edit"/>
          </v:shape>
        </w:pict>
      </w:r>
      <w:r>
        <w:rPr>
          <w:rFonts w:ascii="仿宋_GB2312" w:hAnsi="仿宋" w:eastAsia="仿宋_GB2312" w:cs="宋体"/>
          <w:kern w:val="0"/>
          <w:sz w:val="24"/>
        </w:rPr>
        <w:pict>
          <v:shape id="_x0000_s2052" o:spid="_x0000_s2052" o:spt="32" type="#_x0000_t32" style="position:absolute;left:0pt;flip:y;margin-left:177.35pt;margin-top:7.25pt;height:13.5pt;width:12pt;z-index:251659264;mso-width-relative:page;mso-height-relative:page;" o:connectortype="straight" filled="f" coordsize="21600,21600">
            <v:path arrowok="t"/>
            <v:fill on="f" focussize="0,0"/>
            <v:stroke/>
            <v:imagedata o:title=""/>
            <o:lock v:ext="edit"/>
          </v:shape>
        </w:pict>
      </w:r>
      <w:r>
        <w:rPr>
          <w:rFonts w:hint="eastAsia" w:ascii="仿宋_GB2312" w:hAnsi="仿宋" w:eastAsia="仿宋_GB2312" w:cs="宋体"/>
          <w:kern w:val="0"/>
          <w:sz w:val="24"/>
        </w:rPr>
        <w:t>3、乙方承诺不利用租赁房屋从事</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等在内的</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行业，并采取有效措施使其边界噪声、排放物达到国家规定的环境噪声、排放物的排放标准，经营行为符合《中华人民共和国环境保护法》等法律、法规、规章的规定，厦门经济特区政府另有规定的，从其规定。乙方的经营行为对他人造成危害的，应承担相应的赔偿责任。</w:t>
      </w:r>
    </w:p>
    <w:p w14:paraId="46A7DDD8">
      <w:pPr>
        <w:widowControl/>
        <w:spacing w:line="520" w:lineRule="exact"/>
        <w:ind w:right="-512" w:rightChars="-244"/>
        <w:jc w:val="left"/>
        <w:rPr>
          <w:rFonts w:ascii="仿宋_GB2312" w:hAnsi="仿宋" w:eastAsia="仿宋_GB2312" w:cs="宋体"/>
          <w:b/>
          <w:bCs/>
          <w:kern w:val="0"/>
          <w:sz w:val="24"/>
        </w:rPr>
      </w:pPr>
      <w:r>
        <w:rPr>
          <w:rFonts w:hint="eastAsia" w:ascii="仿宋_GB2312" w:hAnsi="仿宋" w:eastAsia="仿宋_GB2312" w:cs="宋体"/>
          <w:b/>
          <w:bCs/>
          <w:kern w:val="0"/>
          <w:sz w:val="24"/>
        </w:rPr>
        <w:t>第三条  租赁履行保证金</w:t>
      </w:r>
    </w:p>
    <w:p w14:paraId="0862D6F6">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合同签订当日，乙方应支付给甲方</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个月的租金人民币</w:t>
      </w:r>
      <w:r>
        <w:rPr>
          <w:rFonts w:hint="eastAsia" w:ascii="仿宋" w:hAnsi="仿宋" w:eastAsia="仿宋" w:cs="宋体"/>
          <w:kern w:val="0"/>
          <w:sz w:val="24"/>
          <w:u w:val="single"/>
        </w:rPr>
        <w:t xml:space="preserve">   </w:t>
      </w:r>
      <w:r>
        <w:rPr>
          <w:rFonts w:hint="eastAsia" w:ascii="仿宋" w:hAnsi="仿宋" w:eastAsia="仿宋" w:cs="宋体"/>
          <w:kern w:val="0"/>
          <w:sz w:val="24"/>
        </w:rPr>
        <w:t>元整（大写</w:t>
      </w:r>
      <w:r>
        <w:rPr>
          <w:rFonts w:hint="eastAsia" w:ascii="仿宋" w:hAnsi="仿宋" w:eastAsia="仿宋" w:cs="宋体"/>
          <w:kern w:val="0"/>
          <w:sz w:val="24"/>
          <w:u w:val="single"/>
        </w:rPr>
        <w:t xml:space="preserve">   元整</w:t>
      </w:r>
      <w:r>
        <w:rPr>
          <w:rFonts w:hint="eastAsia" w:ascii="仿宋" w:hAnsi="仿宋" w:eastAsia="仿宋" w:cs="宋体"/>
          <w:kern w:val="0"/>
          <w:sz w:val="24"/>
        </w:rPr>
        <w:t>，不计息）</w:t>
      </w:r>
      <w:r>
        <w:rPr>
          <w:rFonts w:hint="eastAsia" w:ascii="仿宋_GB2312" w:hAnsi="仿宋" w:eastAsia="仿宋_GB2312" w:cs="宋体"/>
          <w:kern w:val="0"/>
          <w:sz w:val="24"/>
        </w:rPr>
        <w:t>作为履约保证金。</w:t>
      </w:r>
    </w:p>
    <w:p w14:paraId="4198B3C4">
      <w:pPr>
        <w:widowControl/>
        <w:spacing w:line="520" w:lineRule="exact"/>
        <w:ind w:left="-540" w:leftChars="-257" w:right="-512" w:rightChars="-244" w:firstLine="482" w:firstLineChars="200"/>
        <w:jc w:val="left"/>
        <w:rPr>
          <w:rFonts w:ascii="仿宋_GB2312" w:hAnsi="仿宋" w:eastAsia="仿宋_GB2312" w:cs="宋体"/>
          <w:kern w:val="0"/>
          <w:sz w:val="24"/>
        </w:rPr>
      </w:pPr>
      <w:r>
        <w:rPr>
          <w:rFonts w:hint="eastAsia" w:ascii="仿宋_GB2312" w:hAnsi="仿宋" w:eastAsia="仿宋_GB2312" w:cs="宋体"/>
          <w:b/>
          <w:bCs/>
          <w:kern w:val="0"/>
          <w:sz w:val="24"/>
        </w:rPr>
        <w:t>第四条  租金及支付方式</w:t>
      </w:r>
    </w:p>
    <w:p w14:paraId="07D2F986">
      <w:pPr>
        <w:widowControl/>
        <w:spacing w:line="520" w:lineRule="exact"/>
        <w:ind w:left="-540" w:leftChars="-257" w:right="-512" w:rightChars="-244" w:firstLine="480" w:firstLineChars="200"/>
        <w:jc w:val="left"/>
        <w:rPr>
          <w:rFonts w:ascii="仿宋" w:hAnsi="仿宋" w:eastAsia="仿宋" w:cs="宋体"/>
          <w:color w:val="000000"/>
          <w:kern w:val="0"/>
          <w:sz w:val="24"/>
        </w:rPr>
      </w:pPr>
      <w:r>
        <w:rPr>
          <w:rFonts w:hint="eastAsia" w:ascii="仿宋_GB2312" w:hAnsi="仿宋" w:eastAsia="仿宋_GB2312" w:cs="宋体"/>
          <w:kern w:val="0"/>
          <w:sz w:val="24"/>
        </w:rPr>
        <w:t>1、</w:t>
      </w:r>
      <w:r>
        <w:rPr>
          <w:rFonts w:hint="eastAsia" w:ascii="仿宋" w:hAnsi="仿宋" w:eastAsia="仿宋" w:cs="宋体"/>
          <w:kern w:val="0"/>
          <w:sz w:val="24"/>
        </w:rPr>
        <w:t>房屋自</w:t>
      </w:r>
      <w:r>
        <w:rPr>
          <w:rFonts w:hint="eastAsia" w:ascii="仿宋" w:hAnsi="仿宋" w:eastAsia="仿宋" w:cs="宋体"/>
          <w:kern w:val="0"/>
          <w:sz w:val="24"/>
          <w:u w:val="single"/>
        </w:rPr>
        <w:t xml:space="preserve">    </w:t>
      </w:r>
      <w:r>
        <w:rPr>
          <w:rFonts w:hint="eastAsia" w:ascii="仿宋" w:hAnsi="仿宋" w:eastAsia="仿宋" w:cs="宋体"/>
          <w:kern w:val="0"/>
          <w:sz w:val="24"/>
        </w:rPr>
        <w:t>年</w:t>
      </w:r>
      <w:r>
        <w:rPr>
          <w:rFonts w:hint="eastAsia" w:ascii="仿宋" w:hAnsi="仿宋" w:eastAsia="仿宋" w:cs="宋体"/>
          <w:kern w:val="0"/>
          <w:sz w:val="24"/>
          <w:u w:val="single"/>
        </w:rPr>
        <w:t xml:space="preserve">   </w:t>
      </w:r>
      <w:r>
        <w:rPr>
          <w:rFonts w:hint="eastAsia" w:ascii="仿宋" w:hAnsi="仿宋" w:eastAsia="仿宋" w:cs="宋体"/>
          <w:kern w:val="0"/>
          <w:sz w:val="24"/>
        </w:rPr>
        <w:t>月</w:t>
      </w:r>
      <w:r>
        <w:rPr>
          <w:rFonts w:hint="eastAsia" w:ascii="仿宋" w:hAnsi="仿宋" w:eastAsia="仿宋" w:cs="宋体"/>
          <w:kern w:val="0"/>
          <w:sz w:val="24"/>
          <w:u w:val="single"/>
        </w:rPr>
        <w:t xml:space="preserve">    </w:t>
      </w:r>
      <w:r>
        <w:rPr>
          <w:rFonts w:hint="eastAsia" w:ascii="仿宋" w:hAnsi="仿宋" w:eastAsia="仿宋" w:cs="宋体"/>
          <w:kern w:val="0"/>
          <w:sz w:val="24"/>
        </w:rPr>
        <w:t>日起至</w:t>
      </w:r>
      <w:r>
        <w:rPr>
          <w:rFonts w:hint="eastAsia" w:ascii="仿宋" w:hAnsi="仿宋" w:eastAsia="仿宋" w:cs="宋体"/>
          <w:kern w:val="0"/>
          <w:sz w:val="24"/>
          <w:u w:val="single"/>
        </w:rPr>
        <w:t xml:space="preserve">   </w:t>
      </w:r>
      <w:r>
        <w:rPr>
          <w:rFonts w:hint="eastAsia" w:ascii="仿宋" w:hAnsi="仿宋" w:eastAsia="仿宋" w:cs="宋体"/>
          <w:kern w:val="0"/>
          <w:sz w:val="24"/>
        </w:rPr>
        <w:t>年</w:t>
      </w:r>
      <w:r>
        <w:rPr>
          <w:rFonts w:hint="eastAsia" w:ascii="仿宋" w:hAnsi="仿宋" w:eastAsia="仿宋" w:cs="宋体"/>
          <w:kern w:val="0"/>
          <w:sz w:val="24"/>
          <w:u w:val="single"/>
        </w:rPr>
        <w:t xml:space="preserve">    </w:t>
      </w:r>
      <w:r>
        <w:rPr>
          <w:rFonts w:hint="eastAsia" w:ascii="仿宋" w:hAnsi="仿宋" w:eastAsia="仿宋" w:cs="宋体"/>
          <w:kern w:val="0"/>
          <w:sz w:val="24"/>
        </w:rPr>
        <w:t>月</w:t>
      </w:r>
      <w:r>
        <w:rPr>
          <w:rFonts w:hint="eastAsia" w:ascii="仿宋" w:hAnsi="仿宋" w:eastAsia="仿宋" w:cs="宋体"/>
          <w:kern w:val="0"/>
          <w:sz w:val="24"/>
          <w:u w:val="single"/>
        </w:rPr>
        <w:t xml:space="preserve">   </w:t>
      </w:r>
      <w:r>
        <w:rPr>
          <w:rFonts w:hint="eastAsia" w:ascii="仿宋" w:hAnsi="仿宋" w:eastAsia="仿宋" w:cs="宋体"/>
          <w:kern w:val="0"/>
          <w:sz w:val="24"/>
        </w:rPr>
        <w:t>日止每月租金为人民币</w:t>
      </w:r>
      <w:r>
        <w:rPr>
          <w:rFonts w:hint="eastAsia" w:ascii="仿宋" w:hAnsi="仿宋" w:eastAsia="仿宋" w:cs="宋体"/>
          <w:kern w:val="0"/>
          <w:sz w:val="24"/>
          <w:u w:val="single"/>
        </w:rPr>
        <w:t xml:space="preserve">   </w:t>
      </w:r>
      <w:r>
        <w:rPr>
          <w:rFonts w:hint="eastAsia" w:ascii="仿宋" w:hAnsi="仿宋" w:eastAsia="仿宋" w:cs="宋体"/>
          <w:kern w:val="0"/>
          <w:sz w:val="24"/>
        </w:rPr>
        <w:t>元/月（大写</w:t>
      </w:r>
      <w:r>
        <w:rPr>
          <w:rFonts w:hint="eastAsia" w:ascii="仿宋" w:hAnsi="仿宋" w:eastAsia="仿宋" w:cs="宋体"/>
          <w:kern w:val="0"/>
          <w:sz w:val="24"/>
          <w:u w:val="single"/>
        </w:rPr>
        <w:t xml:space="preserve">   </w:t>
      </w:r>
      <w:r>
        <w:rPr>
          <w:rFonts w:hint="eastAsia" w:ascii="仿宋" w:hAnsi="仿宋" w:eastAsia="仿宋" w:cs="宋体"/>
          <w:kern w:val="0"/>
          <w:sz w:val="24"/>
        </w:rPr>
        <w:t>元整）</w:t>
      </w:r>
      <w:r>
        <w:rPr>
          <w:rFonts w:hint="eastAsia" w:ascii="仿宋_GB2312" w:hAnsi="仿宋" w:eastAsia="仿宋_GB2312" w:cs="宋体"/>
          <w:kern w:val="0"/>
          <w:sz w:val="24"/>
        </w:rPr>
        <w:t>。</w:t>
      </w:r>
    </w:p>
    <w:p w14:paraId="5B213079">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2、房屋租金支付方式：</w:t>
      </w:r>
    </w:p>
    <w:p w14:paraId="7E51F2A7">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租金按每</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为一期支付，乙方应于合同签订当日缴纳第一期租金，此后应于每期租金到期前5日内交付下期租金。</w:t>
      </w:r>
    </w:p>
    <w:p w14:paraId="55F90297">
      <w:pPr>
        <w:widowControl/>
        <w:shd w:val="clear" w:color="auto" w:fill="FFFFFF"/>
        <w:spacing w:line="520" w:lineRule="exact"/>
        <w:jc w:val="left"/>
        <w:rPr>
          <w:rFonts w:ascii="仿宋_GB2312" w:hAnsi="仿宋" w:eastAsia="仿宋_GB2312" w:cs="Helvetica"/>
          <w:kern w:val="0"/>
          <w:sz w:val="24"/>
        </w:rPr>
      </w:pPr>
      <w:r>
        <w:rPr>
          <w:rFonts w:hint="eastAsia" w:ascii="仿宋_GB2312" w:hAnsi="仿宋" w:eastAsia="仿宋_GB2312" w:cs="宋体"/>
          <w:kern w:val="0"/>
          <w:sz w:val="24"/>
        </w:rPr>
        <w:t>3、</w:t>
      </w:r>
      <w:r>
        <w:rPr>
          <w:rFonts w:hint="eastAsia" w:ascii="仿宋_GB2312" w:hAnsi="仿宋" w:eastAsia="仿宋_GB2312" w:cs="Helvetica"/>
          <w:kern w:val="0"/>
          <w:sz w:val="24"/>
        </w:rPr>
        <w:t>甲方收款账号：</w:t>
      </w:r>
    </w:p>
    <w:p w14:paraId="07C37245">
      <w:pPr>
        <w:widowControl/>
        <w:spacing w:line="500" w:lineRule="exact"/>
        <w:ind w:left="-538" w:leftChars="-256" w:right="-512" w:rightChars="-24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开户名:厦门同安国有资本控股集团有限公司</w:t>
      </w:r>
    </w:p>
    <w:p w14:paraId="4937159C">
      <w:pPr>
        <w:widowControl/>
        <w:spacing w:line="500" w:lineRule="exact"/>
        <w:ind w:left="-538" w:leftChars="-256" w:right="-512" w:rightChars="-24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开户行：农行厦门同安支行</w:t>
      </w:r>
    </w:p>
    <w:p w14:paraId="4F8D5322">
      <w:pPr>
        <w:widowControl/>
        <w:spacing w:line="500" w:lineRule="exact"/>
        <w:ind w:left="-538" w:leftChars="-256" w:right="-512" w:rightChars="-24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账号：40390001040063766</w:t>
      </w:r>
    </w:p>
    <w:p w14:paraId="3A155E71">
      <w:pPr>
        <w:widowControl/>
        <w:spacing w:line="500" w:lineRule="exact"/>
        <w:ind w:left="-538" w:leftChars="-256"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第五条  租赁期间相关费用</w:t>
      </w:r>
    </w:p>
    <w:p w14:paraId="20DF33A9">
      <w:pPr>
        <w:widowControl/>
        <w:spacing w:line="500" w:lineRule="exact"/>
        <w:ind w:left="-538" w:leftChars="-256"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1、甲方应结算本合同生效前发生的水费、电费等费用。</w:t>
      </w:r>
    </w:p>
    <w:p w14:paraId="7943EC0D">
      <w:pPr>
        <w:widowControl/>
        <w:spacing w:line="500" w:lineRule="exact"/>
        <w:ind w:left="-538" w:leftChars="-256"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2、乙方承租期间所发生的水费、电费、公摊水电费、有线电视收视费、生活垃圾处理费、卫生费、物业管理费等费用及产生的滞纳金均由乙方缴纳负担。乙方应保存并向甲方出示相关的缴费凭据。</w:t>
      </w:r>
    </w:p>
    <w:p w14:paraId="2B6F27FC">
      <w:pPr>
        <w:widowControl/>
        <w:spacing w:line="500" w:lineRule="exact"/>
        <w:ind w:left="-538" w:leftChars="-256"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第六条  租赁期间安全生产及管理</w:t>
      </w:r>
    </w:p>
    <w:p w14:paraId="251437A3">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1、乙方要遵守国家的法律和法规、厦门市地方性法规规章以及计生方面等其它有关规定。</w:t>
      </w:r>
    </w:p>
    <w:p w14:paraId="6BE91BCD">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乙方承担安全主体责任，自行做好治安、消防、人身和财产防范等安全生产工作，遵循厦门市“网格化管理”，保证防范措施到位有效。因乙方原因发生安全等事故，甲方可没收履约保证金、提前终止合同，由此产生的一切后果和责任均由乙方承担。</w:t>
      </w:r>
    </w:p>
    <w:p w14:paraId="5D652317">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3、乙方应按规定及安全规范要求配备灭火器等其他消防器材，对所属及相关人员按要求进行必要安全生产工作的培训，及时完成达到甲方日常安全巡查中提出的整改要求,否则甲方可视乙方整改情况没收履约保证金直至终止合同。</w:t>
      </w:r>
    </w:p>
    <w:p w14:paraId="333B507C">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4、乙方因经营需要设置店面招牌广告，须申报甲方书面同意并取得区相关部门审批手续后方可制作设置。</w:t>
      </w:r>
    </w:p>
    <w:p w14:paraId="740DE6CC">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5、乙方应执行政府有关负责门前“三包”的规定。</w:t>
      </w:r>
    </w:p>
    <w:p w14:paraId="6D72089E">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6、乙方在不改变租赁房屋结构、用途的前提下，要将房屋全部或部分转租、转借他方，须提前45日书面申报甲方同意后，并办理合同变更手续。</w:t>
      </w:r>
    </w:p>
    <w:p w14:paraId="4F400AAB">
      <w:pPr>
        <w:widowControl/>
        <w:spacing w:line="520" w:lineRule="exact"/>
        <w:ind w:right="-512" w:rightChars="-244"/>
        <w:jc w:val="left"/>
        <w:rPr>
          <w:rFonts w:ascii="仿宋_GB2312" w:hAnsi="仿宋" w:eastAsia="仿宋_GB2312" w:cs="宋体"/>
          <w:kern w:val="0"/>
          <w:sz w:val="24"/>
        </w:rPr>
      </w:pPr>
      <w:r>
        <w:rPr>
          <w:rFonts w:hint="eastAsia" w:ascii="仿宋_GB2312" w:hAnsi="仿宋" w:eastAsia="仿宋_GB2312" w:cs="宋体"/>
          <w:b/>
          <w:bCs/>
          <w:kern w:val="0"/>
          <w:sz w:val="24"/>
        </w:rPr>
        <w:t>第七条  房屋的修缮与使用</w:t>
      </w:r>
    </w:p>
    <w:p w14:paraId="2859A378">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甲方于本合同生效之日起将房屋交付给乙方使用(附移交确认书)，乙方对承租的房屋（含房屋内物品、水电等设施）负保护及维修责任，维修费用由乙方自理，造成设施或物品损坏的，乙方应负责修复或照价赔偿。</w:t>
      </w:r>
    </w:p>
    <w:p w14:paraId="5BAEB244">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w:t>
      </w:r>
      <w:r>
        <w:rPr>
          <w:rFonts w:hint="eastAsia" w:ascii="仿宋_GB2312" w:hAnsi="仿宋" w:eastAsia="仿宋_GB2312" w:cs="Helvetica"/>
          <w:kern w:val="0"/>
          <w:sz w:val="24"/>
        </w:rPr>
        <w:t>乙方需出资改变房屋的内部结构、装修或设置对房屋结构有影响的设备，</w:t>
      </w:r>
      <w:bookmarkStart w:id="0" w:name="OLE_LINK2"/>
      <w:r>
        <w:rPr>
          <w:rFonts w:hint="eastAsia" w:ascii="仿宋_GB2312" w:hAnsi="仿宋" w:eastAsia="仿宋_GB2312" w:cs="Helvetica"/>
          <w:kern w:val="0"/>
          <w:sz w:val="24"/>
        </w:rPr>
        <w:t>涉及</w:t>
      </w:r>
      <w:bookmarkEnd w:id="0"/>
      <w:r>
        <w:rPr>
          <w:rFonts w:hint="eastAsia" w:ascii="仿宋_GB2312" w:hAnsi="仿宋" w:eastAsia="仿宋_GB2312" w:cs="Helvetica"/>
          <w:kern w:val="0"/>
          <w:sz w:val="24"/>
        </w:rPr>
        <w:t>的设计规模、范围、工艺、用料等方案均须事先征得甲方的书面同意后方可施工。租赁期满后或因乙方责任导致合同提前终止的，甲方有权选择以下其中一项权利：</w:t>
      </w:r>
    </w:p>
    <w:p w14:paraId="5E5DE5F6">
      <w:pPr>
        <w:widowControl/>
        <w:shd w:val="clear" w:color="auto" w:fill="FFFFFF"/>
        <w:spacing w:line="520" w:lineRule="exact"/>
        <w:jc w:val="left"/>
        <w:rPr>
          <w:rFonts w:ascii="仿宋_GB2312" w:hAnsi="仿宋" w:eastAsia="仿宋_GB2312" w:cs="Helvetica"/>
          <w:kern w:val="0"/>
          <w:sz w:val="24"/>
        </w:rPr>
      </w:pPr>
      <w:r>
        <w:rPr>
          <w:rFonts w:hint="eastAsia" w:ascii="仿宋_GB2312" w:hAnsi="仿宋" w:eastAsia="仿宋_GB2312" w:cs="Helvetica"/>
          <w:kern w:val="0"/>
          <w:sz w:val="24"/>
        </w:rPr>
        <w:t>（1）已形成房屋附合装饰装修物无偿归甲方所有；</w:t>
      </w:r>
    </w:p>
    <w:p w14:paraId="556CE8AA">
      <w:pPr>
        <w:widowControl/>
        <w:shd w:val="clear" w:color="auto" w:fill="FFFFFF"/>
        <w:spacing w:line="520" w:lineRule="exact"/>
        <w:jc w:val="left"/>
        <w:rPr>
          <w:rFonts w:ascii="仿宋_GB2312" w:hAnsi="仿宋" w:eastAsia="仿宋_GB2312" w:cs="Helvetica"/>
          <w:kern w:val="0"/>
          <w:sz w:val="24"/>
        </w:rPr>
      </w:pPr>
      <w:r>
        <w:rPr>
          <w:rFonts w:hint="eastAsia" w:ascii="仿宋_GB2312" w:hAnsi="仿宋" w:eastAsia="仿宋_GB2312" w:cs="Helvetica"/>
          <w:kern w:val="0"/>
          <w:sz w:val="24"/>
        </w:rPr>
        <w:t>（2）乙方将房屋恢复原状；</w:t>
      </w:r>
    </w:p>
    <w:p w14:paraId="72C7FFC2">
      <w:pPr>
        <w:widowControl/>
        <w:shd w:val="clear" w:color="auto" w:fill="FFFFFF"/>
        <w:spacing w:line="520" w:lineRule="exact"/>
        <w:jc w:val="left"/>
        <w:rPr>
          <w:rFonts w:ascii="仿宋_GB2312" w:hAnsi="仿宋" w:eastAsia="仿宋_GB2312" w:cs="Helvetica"/>
          <w:kern w:val="0"/>
          <w:sz w:val="24"/>
        </w:rPr>
      </w:pPr>
      <w:r>
        <w:rPr>
          <w:rFonts w:hint="eastAsia" w:ascii="仿宋_GB2312" w:hAnsi="仿宋" w:eastAsia="仿宋_GB2312" w:cs="Helvetica"/>
          <w:kern w:val="0"/>
          <w:sz w:val="24"/>
        </w:rPr>
        <w:t>（3）乙方支付甲方对房屋恢复原状实际发生的全部费用。</w:t>
      </w:r>
    </w:p>
    <w:p w14:paraId="3233F5EA">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第八条  合同的解除与终止</w:t>
      </w:r>
    </w:p>
    <w:p w14:paraId="720F5232">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w:t>
      </w:r>
      <w:r>
        <w:rPr>
          <w:rFonts w:hint="eastAsia" w:ascii="仿宋_GB2312" w:hAnsi="仿宋" w:eastAsia="仿宋_GB2312" w:cs="宋体"/>
          <w:b/>
          <w:bCs/>
          <w:kern w:val="0"/>
          <w:sz w:val="24"/>
        </w:rPr>
        <w:t>乙方不履行或不完全履行合同义务时,甲方有权单方收回出租房屋。</w:t>
      </w:r>
    </w:p>
    <w:p w14:paraId="2F40D49C">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房屋租赁期间，乙方有下列行为之一的，甲方有权解除本合同，收回出租房屋，租赁履约保证金不予退还：</w:t>
      </w:r>
    </w:p>
    <w:p w14:paraId="1F62801C">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（1）未经甲方书面同意全部或部分转租、转借所承租的房屋；</w:t>
      </w:r>
    </w:p>
    <w:p w14:paraId="627CEEB5">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（2）未经甲方书面同意擅自拆改变动房屋结构；</w:t>
      </w:r>
    </w:p>
    <w:p w14:paraId="018118B5">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（3）损坏承租房屋及配套设施和物品，在甲方提出的合理期限内仍未修复的；</w:t>
      </w:r>
    </w:p>
    <w:p w14:paraId="10EF6315">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（4）未经甲方书面同意改变本合同约定的房屋租赁用途；</w:t>
      </w:r>
    </w:p>
    <w:p w14:paraId="44ADB72D">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（5）利用承租房屋存放危险物或从事赌博、吸毒等其它违法活动；</w:t>
      </w:r>
    </w:p>
    <w:p w14:paraId="2FC55F45">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（6）逾期未交纳按约定应当由乙方交纳的各项费用；</w:t>
      </w:r>
    </w:p>
    <w:p w14:paraId="53BC324C">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（7）拖欠房屋租金累计5日以上（含本数）；</w:t>
      </w:r>
    </w:p>
    <w:p w14:paraId="04FB8D77">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（8）不按照规定和本合同约定要求设置户外广告牌；</w:t>
      </w:r>
    </w:p>
    <w:p w14:paraId="38FE03D9">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（9）在房屋内部、周围、屋顶、阳台等处违法建设（搭建）附属物或违章占道经营的；</w:t>
      </w:r>
    </w:p>
    <w:p w14:paraId="0FF3A8A0">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（10）不遵守和履行合同附件及甲方有关管理制度，经劝导后仍未及时整改的。</w:t>
      </w:r>
    </w:p>
    <w:p w14:paraId="1335DC9B">
      <w:pPr>
        <w:widowControl/>
        <w:spacing w:line="520" w:lineRule="exact"/>
        <w:ind w:left="-517" w:leftChars="-246" w:right="-176" w:rightChars="-8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2、乙方违反本合同约定，甲方有权提前终止合同，乙方因此造成的全部损失自行承担。</w:t>
      </w:r>
    </w:p>
    <w:p w14:paraId="29C422AF">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3、租赁期满日，本合同即自行终止，甲方有权无偿收回房屋并向社会公开招投标。</w:t>
      </w:r>
    </w:p>
    <w:p w14:paraId="79A6D5E3">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4、乙方拖欠房屋租金累计5日以上、拖欠租金且经甲方按本合同首部电话联系方式无法联系乙方的、租期届满时不腾退房屋的，甲方经本合同第十二条约定的通知与送达方式催告</w:t>
      </w:r>
      <w:r>
        <w:rPr>
          <w:rFonts w:hint="eastAsia" w:ascii="仿宋_GB2312" w:hAnsi="仿宋" w:eastAsia="仿宋_GB2312" w:cs="宋体"/>
          <w:kern w:val="0"/>
          <w:sz w:val="24"/>
          <w:u w:val="single"/>
        </w:rPr>
        <w:t xml:space="preserve"> 七个日历日    </w:t>
      </w:r>
      <w:r>
        <w:rPr>
          <w:rFonts w:hint="eastAsia" w:ascii="仿宋_GB2312" w:hAnsi="仿宋" w:eastAsia="仿宋_GB2312" w:cs="宋体"/>
          <w:kern w:val="0"/>
          <w:sz w:val="24"/>
        </w:rPr>
        <w:t>后，甲方有权自行组织人员（或在公证机关等有关部门的协助下）单方收回房屋。</w:t>
      </w:r>
    </w:p>
    <w:p w14:paraId="775F0C5A">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乙方拒不到场或无法按本合同首部约定的方式联系的，甲方有权（或在公证机关等有关部门的协助下）清点存放在出租房屋中的财物时,登记造册、拍照或摄像,保全过程制作现场记录,财物交由甲方处置。</w:t>
      </w:r>
    </w:p>
    <w:p w14:paraId="348CA256">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甲方就上述事项向乙方发出中国邮政EMS</w:t>
      </w:r>
      <w:r>
        <w:rPr>
          <w:rFonts w:hint="eastAsia" w:ascii="仿宋_GB2312" w:hAnsi="仿宋" w:eastAsia="仿宋_GB2312" w:cs="宋体"/>
          <w:kern w:val="0"/>
          <w:sz w:val="24"/>
          <w:u w:val="single"/>
        </w:rPr>
        <w:t>十五个日历后</w:t>
      </w:r>
      <w:r>
        <w:rPr>
          <w:rFonts w:hint="eastAsia" w:ascii="仿宋_GB2312" w:hAnsi="仿宋" w:eastAsia="仿宋_GB2312" w:cs="宋体"/>
          <w:kern w:val="0"/>
          <w:sz w:val="24"/>
        </w:rPr>
        <w:t>（无论乙方是否实际签收或拒绝签收），上述财物视作乙方抛弃物且由甲方自由处置。</w:t>
      </w:r>
    </w:p>
    <w:p w14:paraId="1E03626D">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5、甲方因依法如约单方收回房屋发生的公证费、保管费、评估费、鉴定费、查询费、邮寄费等一切费用，均由乙方全部承担。</w:t>
      </w:r>
    </w:p>
    <w:p w14:paraId="73B1DA9B">
      <w:pPr>
        <w:widowControl/>
        <w:spacing w:line="520" w:lineRule="exact"/>
        <w:ind w:right="-512" w:rightChars="-244"/>
        <w:jc w:val="left"/>
        <w:rPr>
          <w:rFonts w:ascii="仿宋_GB2312" w:hAnsi="仿宋" w:eastAsia="仿宋_GB2312" w:cs="宋体"/>
          <w:kern w:val="0"/>
          <w:sz w:val="24"/>
        </w:rPr>
      </w:pPr>
      <w:r>
        <w:rPr>
          <w:rFonts w:hint="eastAsia" w:ascii="仿宋_GB2312" w:hAnsi="仿宋" w:eastAsia="仿宋_GB2312" w:cs="宋体"/>
          <w:b/>
          <w:bCs/>
          <w:kern w:val="0"/>
          <w:sz w:val="24"/>
        </w:rPr>
        <w:t>第九条  违约责任</w:t>
      </w:r>
    </w:p>
    <w:p w14:paraId="2D3829E7">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租赁期内，乙方未经甲方同意，中途擅自退租的，甲方不予退回乙方已交的租金和租赁履约保证金，同时不补偿乙方对该房屋投入、装修及其他费用，乙方添置的动产及商品由乙方自行处理，已形成的房屋附合装饰装修物（含门窗、防盗网、水电设施等）无偿归甲方所有。</w:t>
      </w:r>
    </w:p>
    <w:p w14:paraId="7DA201AF">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2、租赁期内，乙方不得拖欠房租，乙方逾期交纳本合同约定的租金及各项费用，每逾期一日，则应按逾期欠缴金额的百分之一向甲方支付违约金，直至欠款付清日。</w:t>
      </w:r>
    </w:p>
    <w:p w14:paraId="0F4970C5">
      <w:pPr>
        <w:widowControl/>
        <w:spacing w:line="520" w:lineRule="exact"/>
        <w:ind w:left="-517" w:leftChars="-246" w:right="-176" w:rightChars="-8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3、租赁期满日，乙方应如期如数完好交还该房屋及设施和物品，甲方则无息退还乙方履约保证金。乙方逾期交还房屋及设施和物品，甲方不退还租赁履行保证金；且每逾期一日，乙方应向甲方支付日租金的5倍作为迟延履行违约金，直到交还房屋及设施和物品之日止。</w:t>
      </w:r>
    </w:p>
    <w:p w14:paraId="369846E1">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第十条</w:t>
      </w:r>
      <w:bookmarkStart w:id="1" w:name="OLE_LINK1"/>
      <w:r>
        <w:rPr>
          <w:rFonts w:hint="eastAsia" w:ascii="仿宋_GB2312" w:hAnsi="仿宋" w:eastAsia="仿宋_GB2312" w:cs="宋体"/>
          <w:b/>
          <w:bCs/>
          <w:kern w:val="0"/>
          <w:sz w:val="24"/>
        </w:rPr>
        <w:t xml:space="preserve">  不可抗力（情势变更）</w:t>
      </w:r>
    </w:p>
    <w:p w14:paraId="4F0379E5">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1、因不可抗力原因致使本合同不能继续履行或造成的损失，甲、乙双方互不承担责任，因上述原因而终止合同的，租金</w:t>
      </w:r>
      <w:r>
        <w:rPr>
          <w:rFonts w:hint="eastAsia" w:ascii="仿宋_GB2312" w:hAnsi="仿宋" w:eastAsia="仿宋_GB2312"/>
          <w:sz w:val="24"/>
        </w:rPr>
        <w:t>和各项费用计算至自行搬迁完毕交还房屋及物品和设施止</w:t>
      </w:r>
      <w:r>
        <w:rPr>
          <w:rFonts w:hint="eastAsia" w:ascii="仿宋_GB2312" w:hAnsi="仿宋" w:eastAsia="仿宋_GB2312" w:cs="宋体"/>
          <w:kern w:val="0"/>
          <w:sz w:val="24"/>
        </w:rPr>
        <w:t>，多退少补。</w:t>
      </w:r>
    </w:p>
    <w:p w14:paraId="698DDAAB">
      <w:pPr>
        <w:widowControl/>
        <w:spacing w:line="520" w:lineRule="exact"/>
        <w:ind w:left="-540" w:leftChars="-257" w:right="-512" w:rightChars="-244" w:firstLine="480" w:firstLineChars="200"/>
        <w:jc w:val="left"/>
        <w:rPr>
          <w:rFonts w:ascii="仿宋_GB2312" w:hAnsi="仿宋" w:eastAsia="仿宋_GB2312"/>
          <w:sz w:val="24"/>
        </w:rPr>
      </w:pPr>
      <w:r>
        <w:rPr>
          <w:rFonts w:hint="eastAsia" w:ascii="仿宋_GB2312" w:hAnsi="仿宋" w:eastAsia="仿宋_GB2312"/>
          <w:sz w:val="24"/>
        </w:rPr>
        <w:t>2、</w:t>
      </w:r>
      <w:r>
        <w:rPr>
          <w:rFonts w:hint="eastAsia" w:ascii="仿宋_GB2312" w:hAnsi="仿宋" w:eastAsia="仿宋_GB2312" w:cs="宋体"/>
          <w:kern w:val="0"/>
          <w:sz w:val="24"/>
        </w:rPr>
        <w:t>房屋租赁</w:t>
      </w:r>
      <w:r>
        <w:rPr>
          <w:rFonts w:hint="eastAsia" w:ascii="仿宋_GB2312" w:hAnsi="仿宋" w:eastAsia="仿宋_GB2312"/>
          <w:sz w:val="24"/>
        </w:rPr>
        <w:t>期间，因城市建设、政府征用（收）、房产开发、政府及其部门作出政策调整等</w:t>
      </w:r>
      <w:bookmarkStart w:id="2" w:name="OLE_LINK3"/>
      <w:r>
        <w:rPr>
          <w:rFonts w:hint="eastAsia" w:ascii="仿宋_GB2312" w:hAnsi="仿宋" w:eastAsia="仿宋_GB2312"/>
          <w:sz w:val="24"/>
        </w:rPr>
        <w:t>其它重大情势变更</w:t>
      </w:r>
      <w:bookmarkEnd w:id="2"/>
      <w:r>
        <w:rPr>
          <w:rFonts w:hint="eastAsia" w:ascii="仿宋_GB2312" w:hAnsi="仿宋" w:eastAsia="仿宋_GB2312"/>
          <w:sz w:val="24"/>
        </w:rPr>
        <w:t>致使本合同无法继续履行的，甲方有权提前终止本合同，乙方应无条件服从。</w:t>
      </w:r>
    </w:p>
    <w:p w14:paraId="56074A29">
      <w:pPr>
        <w:widowControl/>
        <w:spacing w:line="520" w:lineRule="exact"/>
        <w:ind w:left="-540" w:leftChars="-257" w:right="-512" w:rightChars="-244" w:firstLine="480" w:firstLineChars="200"/>
        <w:jc w:val="left"/>
        <w:rPr>
          <w:rFonts w:ascii="仿宋_GB2312" w:hAnsi="仿宋" w:eastAsia="仿宋_GB2312"/>
          <w:sz w:val="24"/>
        </w:rPr>
      </w:pPr>
      <w:r>
        <w:rPr>
          <w:rFonts w:hint="eastAsia" w:ascii="仿宋_GB2312" w:hAnsi="仿宋" w:eastAsia="仿宋_GB2312"/>
          <w:sz w:val="24"/>
        </w:rPr>
        <w:t>终止本合同后，按政府及其有关部门规定的安置补偿方案执行，乙方应在接到甲方书面通知规定期限内自行搬迁完毕，交还租赁的房屋及移交清单上的物品和设施，缴清租金和各项费用，租金和各项费用计算至自行搬迁完毕交还房屋及物品和设施止。</w:t>
      </w:r>
      <w:bookmarkStart w:id="3" w:name="OLE_LINK4"/>
      <w:r>
        <w:rPr>
          <w:rFonts w:hint="eastAsia" w:ascii="仿宋_GB2312" w:hAnsi="仿宋" w:eastAsia="仿宋_GB2312"/>
          <w:sz w:val="24"/>
        </w:rPr>
        <w:t>否则</w:t>
      </w:r>
      <w:bookmarkEnd w:id="3"/>
      <w:r>
        <w:rPr>
          <w:rFonts w:hint="eastAsia" w:ascii="仿宋_GB2312" w:hAnsi="仿宋" w:eastAsia="仿宋_GB2312"/>
          <w:sz w:val="24"/>
        </w:rPr>
        <w:t>，乙方应按第九条第2、3项规定承担违约责任。</w:t>
      </w:r>
    </w:p>
    <w:p w14:paraId="42025A06">
      <w:pPr>
        <w:widowControl/>
        <w:numPr>
          <w:ilvl w:val="0"/>
          <w:numId w:val="1"/>
        </w:numPr>
        <w:spacing w:line="520" w:lineRule="exact"/>
        <w:ind w:left="-540" w:leftChars="-257" w:right="-512" w:rightChars="-244" w:firstLine="480" w:firstLineChars="200"/>
        <w:jc w:val="left"/>
        <w:rPr>
          <w:rFonts w:ascii="仿宋_GB2312" w:hAnsi="仿宋" w:eastAsia="仿宋_GB2312"/>
          <w:sz w:val="24"/>
        </w:rPr>
      </w:pPr>
      <w:r>
        <w:rPr>
          <w:rFonts w:hint="eastAsia" w:ascii="仿宋_GB2312" w:hAnsi="仿宋" w:eastAsia="仿宋_GB2312"/>
          <w:sz w:val="24"/>
        </w:rPr>
        <w:t>因政府拆迁需要，乙方应在甲方发出中国邮政EMS三十个日历日内无条件自行腾空房产并将房产归还甲方，并不得以任何理由向甲方提出任何补偿的要求。 乙方在甲方发出中国邮政EMS三十个日历日内未腾空房产，留置于房产内的</w:t>
      </w:r>
      <w:r>
        <w:rPr>
          <w:rFonts w:hint="eastAsia" w:ascii="仿宋_GB2312" w:hAnsi="仿宋" w:eastAsia="仿宋_GB2312" w:cs="宋体"/>
          <w:kern w:val="0"/>
          <w:sz w:val="24"/>
        </w:rPr>
        <w:t>财物视作乙方抛弃物且由甲方自由处置。甲方因依法如约单方收回房屋发生的公证费、保管费、评估费、鉴定费、查询费、邮寄费等一切费用，均由乙方全部承担。</w:t>
      </w:r>
    </w:p>
    <w:bookmarkEnd w:id="1"/>
    <w:p w14:paraId="143C6609">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第十一条  争议解决方式</w:t>
      </w:r>
    </w:p>
    <w:p w14:paraId="55C50953">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1、甲乙双方在履行本合同发生的任何争议，应当协商或申请调解解决，协商或调解不能解决的 ，约定由</w:t>
      </w:r>
      <w:r>
        <w:rPr>
          <w:rFonts w:hint="eastAsia" w:ascii="仿宋_GB2312" w:hAnsi="仿宋" w:eastAsia="仿宋_GB2312" w:cs="宋体"/>
          <w:kern w:val="0"/>
          <w:sz w:val="24"/>
          <w:u w:val="single"/>
        </w:rPr>
        <w:t>甲方</w:t>
      </w:r>
      <w:r>
        <w:rPr>
          <w:rFonts w:hint="eastAsia" w:ascii="仿宋_GB2312" w:hAnsi="仿宋" w:eastAsia="仿宋_GB2312" w:cs="宋体"/>
          <w:kern w:val="0"/>
          <w:sz w:val="24"/>
        </w:rPr>
        <w:t>住所地管辖的人民法院依法受理。</w:t>
      </w:r>
    </w:p>
    <w:p w14:paraId="5D193B03">
      <w:pPr>
        <w:widowControl/>
        <w:spacing w:line="520" w:lineRule="exact"/>
        <w:ind w:left="-540" w:leftChars="-257" w:right="-512" w:rightChars="-244" w:firstLine="480" w:firstLineChars="200"/>
        <w:jc w:val="left"/>
        <w:rPr>
          <w:rFonts w:ascii="仿宋_GB2312" w:hAnsi="仿宋" w:eastAsia="仿宋_GB2312" w:cs="Helvetica"/>
          <w:kern w:val="0"/>
          <w:sz w:val="24"/>
        </w:rPr>
      </w:pPr>
      <w:r>
        <w:rPr>
          <w:rFonts w:hint="eastAsia" w:ascii="仿宋_GB2312" w:hAnsi="仿宋" w:eastAsia="仿宋_GB2312" w:cs="Helvetica"/>
          <w:kern w:val="0"/>
          <w:sz w:val="24"/>
        </w:rPr>
        <w:t>2、甲方因乙方违约提起诉讼，据此产生的下述相关费用由乙方偿付甲方，包括但不限于诉讼费、公告费、财产保全费、财产保全担保费、公证费、评估费、鉴定费、差旅费、查询费、邮寄费、律师代理费等费用。</w:t>
      </w:r>
    </w:p>
    <w:p w14:paraId="13029E3D">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第十二条  通知与送达</w:t>
      </w:r>
    </w:p>
    <w:p w14:paraId="312DC525">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 本合同首部约定的地址、联系人及电子通信终端亦为双方工作联系往来、法律文书及争议解决时人民法院和/或仲裁机构的法律文书送达地址，人民法院和/或仲裁机构的诉讼文书（含裁判文书）向任何合同任何一方当事人的上述地址和/或工商登记公示地址（居民身份证登记地址）送达的，视为有效送达。</w:t>
      </w:r>
    </w:p>
    <w:p w14:paraId="55F05038">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2、甲乙双方之间任何与本合同有关的书面通知、要求和公告等文件，均可采用下列送达方式：</w:t>
      </w:r>
    </w:p>
    <w:p w14:paraId="38602377">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（1）一方专人递送的，另一方签收日即为送达（拒签收，于拒签日视为送达）；</w:t>
      </w:r>
    </w:p>
    <w:p w14:paraId="604C702D">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（2）一方采用邮寄或快递方式的，另一方签收日即为送达（未签收、拒签收，于该文件寄送至另一方在本合同确认的联系、送达信息内容视为送达；</w:t>
      </w:r>
    </w:p>
    <w:p w14:paraId="0F3FB4C9">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（3）一方将该文件采用传真、电子邮件、</w:t>
      </w:r>
      <w:bookmarkStart w:id="4" w:name="OLE_LINK7"/>
      <w:r>
        <w:rPr>
          <w:rFonts w:hint="eastAsia" w:ascii="仿宋_GB2312" w:hAnsi="仿宋" w:eastAsia="仿宋_GB2312" w:cs="宋体"/>
          <w:kern w:val="0"/>
          <w:sz w:val="24"/>
        </w:rPr>
        <w:t>移动通信</w:t>
      </w:r>
      <w:bookmarkEnd w:id="4"/>
      <w:r>
        <w:rPr>
          <w:rFonts w:hint="eastAsia" w:ascii="仿宋_GB2312" w:hAnsi="仿宋" w:eastAsia="仿宋_GB2312" w:cs="宋体"/>
          <w:kern w:val="0"/>
          <w:sz w:val="24"/>
        </w:rPr>
        <w:t xml:space="preserve">等即时收悉的特定系统进行送达另一方，一方对应系统显示发送成功的日期为该文件已到达另一方特定系统的日期； </w:t>
      </w:r>
    </w:p>
    <w:p w14:paraId="6B2BD3BE">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（4）乙方拒签甲方送达的</w:t>
      </w:r>
      <w:bookmarkStart w:id="5" w:name="OLE_LINK6"/>
      <w:r>
        <w:rPr>
          <w:rFonts w:hint="eastAsia" w:ascii="仿宋_GB2312" w:hAnsi="仿宋" w:eastAsia="仿宋_GB2312" w:cs="宋体"/>
          <w:kern w:val="0"/>
          <w:sz w:val="24"/>
        </w:rPr>
        <w:t>该文件</w:t>
      </w:r>
      <w:bookmarkEnd w:id="5"/>
      <w:r>
        <w:rPr>
          <w:rFonts w:hint="eastAsia" w:ascii="仿宋_GB2312" w:hAnsi="仿宋" w:eastAsia="仿宋_GB2312" w:cs="宋体"/>
          <w:kern w:val="0"/>
          <w:sz w:val="24"/>
        </w:rPr>
        <w:t>，甲方可在乙方承租的甲方房屋地方张贴该文件，并以拍照（或录像）方式记录留存日，视为该文件已送达乙方。</w:t>
      </w:r>
    </w:p>
    <w:p w14:paraId="1BCB7559">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（5）任何一方在本条第1项中已经确认的地址、电话、邮箱、微信号等信息内容若发生改变后2日内，应书面通知另一方。否则，双方仍执行在本合同确认的联系、送达的信息内容。</w:t>
      </w:r>
    </w:p>
    <w:p w14:paraId="6657BD74">
      <w:pPr>
        <w:widowControl/>
        <w:spacing w:line="520" w:lineRule="exact"/>
        <w:ind w:left="-540" w:leftChars="-257" w:right="-512" w:rightChars="-244" w:firstLine="480" w:firstLineChars="200"/>
        <w:jc w:val="left"/>
        <w:rPr>
          <w:rFonts w:ascii="仿宋_GB2312" w:hAnsi="仿宋" w:eastAsia="仿宋_GB2312" w:cs="宋体"/>
          <w:b/>
          <w:kern w:val="0"/>
          <w:sz w:val="24"/>
          <w:bdr w:val="single" w:color="auto" w:sz="4" w:space="0"/>
        </w:rPr>
      </w:pPr>
      <w:r>
        <w:rPr>
          <w:rFonts w:hint="eastAsia" w:ascii="仿宋_GB2312" w:hAnsi="仿宋" w:eastAsia="仿宋_GB2312" w:cs="宋体"/>
          <w:kern w:val="0"/>
          <w:sz w:val="24"/>
        </w:rPr>
        <w:t>3、甲乙双方确认同意本条第一款的约定也适用于本合同发生争议进行诉讼相关材料和法律文书的送达。当事人对电子通信终端的联系送达适用于争议解决时的送达。</w:t>
      </w:r>
      <w:r>
        <w:rPr>
          <w:rFonts w:hint="eastAsia" w:ascii="仿宋_GB2312" w:hAnsi="仿宋" w:eastAsia="仿宋_GB2312" w:cs="宋体"/>
          <w:b/>
          <w:kern w:val="0"/>
          <w:sz w:val="24"/>
          <w:bdr w:val="single" w:color="auto" w:sz="4" w:space="0"/>
        </w:rPr>
        <w:t xml:space="preserve"> </w:t>
      </w:r>
    </w:p>
    <w:p w14:paraId="745D8D85">
      <w:pPr>
        <w:widowControl/>
        <w:spacing w:line="520" w:lineRule="exact"/>
        <w:ind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第十三条  其他</w:t>
      </w:r>
    </w:p>
    <w:p w14:paraId="440B37E2">
      <w:pPr>
        <w:widowControl/>
        <w:spacing w:line="520" w:lineRule="exact"/>
        <w:ind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1、本合同自甲乙双方签字盖章，并由乙方依约支付租赁履约保证金及第一期租金后生效。</w:t>
      </w:r>
    </w:p>
    <w:p w14:paraId="5AD4A390">
      <w:pPr>
        <w:widowControl/>
        <w:spacing w:line="520" w:lineRule="exact"/>
        <w:ind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2、本合同未尽事宜，经甲、乙双方协商一致，订立补充条款。补充条款及附件《消防安全责任书》、《“门前三包”责任书》 均为本合同组成部分，与本合同具有同等法律效力。</w:t>
      </w:r>
    </w:p>
    <w:p w14:paraId="770BBEF1">
      <w:pPr>
        <w:widowControl/>
        <w:spacing w:line="520" w:lineRule="exact"/>
        <w:ind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 xml:space="preserve">3、 本合同于 </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年</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月</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日订立，本合同及附件一式叁份，由甲方执贰份、乙方执壹份。</w:t>
      </w:r>
    </w:p>
    <w:p w14:paraId="04FF6F7D">
      <w:pPr>
        <w:widowControl/>
        <w:spacing w:line="520" w:lineRule="exact"/>
        <w:ind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（以下无正文）</w:t>
      </w:r>
    </w:p>
    <w:p w14:paraId="4EB4E563">
      <w:pPr>
        <w:widowControl/>
        <w:spacing w:line="720" w:lineRule="auto"/>
        <w:ind w:left="-533" w:leftChars="-254" w:right="-512" w:rightChars="-244" w:firstLine="424" w:firstLineChars="177"/>
        <w:jc w:val="left"/>
        <w:rPr>
          <w:rFonts w:ascii="仿宋_GB2312" w:hAnsi="仿宋" w:eastAsia="仿宋_GB2312" w:cs="宋体"/>
          <w:kern w:val="0"/>
          <w:sz w:val="24"/>
        </w:rPr>
      </w:pPr>
      <w:r>
        <w:rPr>
          <w:rFonts w:hint="eastAsia" w:ascii="仿宋_GB2312" w:hAnsi="仿宋" w:eastAsia="仿宋_GB2312" w:cs="宋体"/>
          <w:kern w:val="0"/>
          <w:sz w:val="24"/>
        </w:rPr>
        <w:t xml:space="preserve">甲方（盖章）：                       乙方（法人/自然人）： </w:t>
      </w:r>
    </w:p>
    <w:p w14:paraId="7362413B">
      <w:pPr>
        <w:widowControl/>
        <w:spacing w:line="720" w:lineRule="auto"/>
        <w:ind w:left="7" w:leftChars="-24" w:right="-512" w:rightChars="-244" w:hanging="57" w:hangingChars="24"/>
        <w:jc w:val="left"/>
        <w:rPr>
          <w:rFonts w:ascii="仿宋_GB2312" w:hAnsi="仿宋" w:eastAsia="仿宋_GB2312" w:cs="宋体"/>
          <w:kern w:val="0"/>
          <w:sz w:val="24"/>
        </w:rPr>
      </w:pPr>
      <w:r>
        <w:rPr>
          <w:rFonts w:hint="eastAsia" w:ascii="仿宋_GB2312" w:hAnsi="仿宋" w:eastAsia="仿宋_GB2312" w:cs="宋体"/>
          <w:kern w:val="0"/>
          <w:sz w:val="24"/>
        </w:rPr>
        <w:t xml:space="preserve">法定代表人：                         法定代表人：                 </w:t>
      </w:r>
      <w:r>
        <w:rPr>
          <w:rFonts w:hint="eastAsia" w:ascii="仿宋_GB2312" w:hAnsi="仿宋" w:eastAsia="仿宋_GB2312" w:cs="宋体"/>
          <w:kern w:val="0"/>
          <w:sz w:val="24"/>
          <w:lang w:val="en-US" w:eastAsia="zh-CN"/>
        </w:rPr>
        <w:t xml:space="preserve">               </w:t>
      </w:r>
      <w:r>
        <w:rPr>
          <w:rFonts w:hint="eastAsia" w:ascii="仿宋_GB2312" w:hAnsi="仿宋" w:eastAsia="仿宋_GB2312" w:cs="宋体"/>
          <w:kern w:val="0"/>
          <w:sz w:val="24"/>
        </w:rPr>
        <w:t>授权代表：                           委托代理人：</w:t>
      </w:r>
    </w:p>
    <w:p w14:paraId="2CDE2472">
      <w:pPr>
        <w:widowControl/>
        <w:spacing w:line="720" w:lineRule="auto"/>
        <w:ind w:left="-533" w:leftChars="-254" w:right="-512" w:rightChars="-244" w:firstLine="424" w:firstLineChars="177"/>
        <w:jc w:val="left"/>
        <w:rPr>
          <w:rFonts w:ascii="仿宋_GB2312" w:hAnsi="仿宋" w:eastAsia="仿宋_GB2312" w:cs="宋体"/>
          <w:kern w:val="0"/>
          <w:sz w:val="24"/>
        </w:rPr>
      </w:pPr>
    </w:p>
    <w:p w14:paraId="3028B7AD">
      <w:pPr>
        <w:pStyle w:val="8"/>
        <w:rPr>
          <w:rFonts w:ascii="宋体" w:hAnsi="宋体"/>
          <w:sz w:val="36"/>
          <w:szCs w:val="36"/>
        </w:rPr>
      </w:pPr>
    </w:p>
    <w:p w14:paraId="347E55E1">
      <w:pPr>
        <w:pStyle w:val="8"/>
        <w:rPr>
          <w:rFonts w:ascii="宋体" w:hAnsi="宋体"/>
          <w:sz w:val="44"/>
          <w:szCs w:val="44"/>
        </w:rPr>
      </w:pPr>
      <w:r>
        <w:rPr>
          <w:rFonts w:hint="eastAsia" w:ascii="宋体" w:hAnsi="宋体"/>
          <w:sz w:val="36"/>
          <w:szCs w:val="36"/>
        </w:rPr>
        <w:t>消防安全责任书</w:t>
      </w:r>
    </w:p>
    <w:p w14:paraId="6211112B">
      <w:pPr>
        <w:rPr>
          <w:rFonts w:ascii="仿宋" w:hAnsi="仿宋" w:eastAsia="仿宋"/>
        </w:rPr>
      </w:pPr>
    </w:p>
    <w:p w14:paraId="105E3B9F">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根据《中华人民共和国消防法》、《厦门市消防条例》等有关规定，对租赁合同中甲乙双方有关消防安全工作职责作以下规定。</w:t>
      </w:r>
    </w:p>
    <w:p w14:paraId="0AE89961">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一、在租赁经营活动中的消防安全管理必须认真贯彻“预防为主，防消结合”、“谁承租，谁负责”的原则，明确承租人为消防安全的第一责任人；同时接受当地公安消防部门的指导、监察、检查及消防隐患的整改。</w:t>
      </w:r>
    </w:p>
    <w:p w14:paraId="64A86244">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二、甲乙双方消防安全管理的职责：</w:t>
      </w:r>
    </w:p>
    <w:p w14:paraId="5F4CB9EA">
      <w:pPr>
        <w:widowControl/>
        <w:spacing w:line="500" w:lineRule="exact"/>
        <w:ind w:left="-538" w:leftChars="-256" w:right="-512" w:rightChars="-244" w:firstLine="420" w:firstLineChars="200"/>
        <w:jc w:val="left"/>
        <w:rPr>
          <w:rFonts w:ascii="仿宋_GB2312" w:hAnsi="仿宋_GB2312" w:eastAsia="仿宋_GB2312" w:cs="仿宋_GB2312"/>
          <w:kern w:val="0"/>
          <w:sz w:val="24"/>
        </w:rPr>
      </w:pPr>
      <w:r>
        <w:rPr>
          <w:rFonts w:hint="eastAsia" w:ascii="仿宋_GB2312" w:hAnsi="仿宋_GB2312" w:eastAsia="仿宋_GB2312" w:cs="仿宋_GB2312"/>
        </w:rPr>
        <w:t xml:space="preserve">   （一）甲方（出租方）：</w:t>
      </w:r>
      <w:r>
        <w:rPr>
          <w:rFonts w:hint="eastAsia" w:ascii="仿宋_GB2312" w:hAnsi="仿宋_GB2312" w:eastAsia="仿宋_GB2312" w:cs="仿宋_GB2312"/>
          <w:kern w:val="0"/>
          <w:sz w:val="24"/>
        </w:rPr>
        <w:t>厦门同安国有资本控股集团有限公司</w:t>
      </w:r>
      <w:r>
        <w:rPr>
          <w:rFonts w:ascii="仿宋" w:hAnsi="仿宋" w:eastAsia="仿宋"/>
          <w:sz w:val="28"/>
          <w:szCs w:val="28"/>
        </w:rPr>
        <w:t xml:space="preserve"> </w:t>
      </w:r>
    </w:p>
    <w:p w14:paraId="54734464">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1、甲方配合宣传消防法规、普及消防知识，协助乙方提高消防自防自救能力。</w:t>
      </w:r>
    </w:p>
    <w:p w14:paraId="3C1DCAE8">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2、配合当地公安消防部门督促、检查承租方有关消防法规的执行情况。</w:t>
      </w:r>
    </w:p>
    <w:p w14:paraId="29DF226B">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3、甲方有权对乙方承租的场所进行消防检查，发现有违章违规现象和行为以及有火灾隐患的，甲方有权责令乙方进行整改和停业整顿。如乙方不在规定的时间内整改，甲方有权代乙方整改，因此而产生的一切损失和费用，由乙方自行承担。</w:t>
      </w:r>
    </w:p>
    <w:p w14:paraId="48AB7F13">
      <w:pPr>
        <w:pStyle w:val="2"/>
        <w:spacing w:line="500" w:lineRule="exact"/>
        <w:ind w:firstLine="360" w:firstLineChars="150"/>
        <w:rPr>
          <w:rFonts w:ascii="仿宋_GB2312" w:hAnsi="仿宋" w:eastAsia="仿宋_GB2312" w:cs="宋体"/>
          <w:kern w:val="0"/>
          <w:u w:val="single"/>
        </w:rPr>
      </w:pPr>
      <w:r>
        <w:rPr>
          <w:rFonts w:hint="eastAsia" w:ascii="仿宋_GB2312" w:hAnsi="仿宋_GB2312" w:eastAsia="仿宋_GB2312" w:cs="仿宋_GB2312"/>
          <w:szCs w:val="24"/>
        </w:rPr>
        <w:t>（二）乙方（承租方）:</w:t>
      </w:r>
      <w:r>
        <w:rPr>
          <w:rFonts w:hint="eastAsia" w:ascii="仿宋_GB2312" w:hAnsi="仿宋_GB2312" w:eastAsia="仿宋_GB2312" w:cs="仿宋_GB2312"/>
          <w:kern w:val="0"/>
          <w:szCs w:val="24"/>
          <w:u w:val="single"/>
        </w:rPr>
        <w:t xml:space="preserve"> </w:t>
      </w:r>
      <w:r>
        <w:rPr>
          <w:rFonts w:hint="eastAsia" w:ascii="仿宋_GB2312" w:hAnsi="仿宋" w:eastAsia="仿宋_GB2312" w:cs="宋体"/>
          <w:kern w:val="0"/>
          <w:u w:val="single"/>
        </w:rPr>
        <w:t xml:space="preserve">          </w:t>
      </w:r>
      <w:r>
        <w:rPr>
          <w:rFonts w:hint="eastAsia" w:ascii="仿宋_GB2312" w:hAnsi="仿宋" w:eastAsia="仿宋_GB2312" w:cs="宋体"/>
          <w:kern w:val="0"/>
          <w:u w:val="single"/>
          <w:lang w:val="en-US" w:eastAsia="zh-CN"/>
        </w:rPr>
        <w:t xml:space="preserve"> </w:t>
      </w:r>
    </w:p>
    <w:p w14:paraId="3B552191">
      <w:pPr>
        <w:pStyle w:val="2"/>
        <w:spacing w:line="500" w:lineRule="exact"/>
        <w:ind w:firstLine="360" w:firstLineChars="150"/>
        <w:rPr>
          <w:rFonts w:ascii="仿宋_GB2312" w:hAnsi="仿宋_GB2312" w:eastAsia="仿宋_GB2312" w:cs="仿宋_GB2312"/>
          <w:szCs w:val="24"/>
        </w:rPr>
      </w:pPr>
      <w:r>
        <w:rPr>
          <w:rFonts w:hint="eastAsia" w:ascii="仿宋_GB2312" w:hAnsi="仿宋_GB2312" w:eastAsia="仿宋_GB2312" w:cs="仿宋_GB2312"/>
          <w:szCs w:val="24"/>
        </w:rPr>
        <w:t>1、根据房产生产经营的实际情况，按消防相关规定，配足、配齐移动式灭火器材(包括消防部门要求配备的消防设施及各类灭火器材，及时维修、更换损坏的消防器材，确保性能良好，数量齐全)，并负责消防栓的维修保养。认真落实三定工作，即定人负责、定点存放、定期维护。员工必须做到一懂四会，即火灾的危险性,会使用消防设施器材，会扑灭初起之火，会正确报警，会自救（逃生）。采取有效防范措施，及时消除火险隐患。</w:t>
      </w:r>
    </w:p>
    <w:p w14:paraId="65225FBB">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2、乙方应按甲方提供的房产耐火等级、楼层负载等级进行生产经营，不得超等级经营、生产、储存易燃、易爆等化学危险品，如乙方生产需要少量化学用品，必须报当地公安消防部门审批，经批准后，方可按批准要求、范围、数量使用，不得超出批准范围。特种设备按规定进行年检、年审，取得合格证书。</w:t>
      </w:r>
    </w:p>
    <w:p w14:paraId="23934582">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3、因生产经营的需要，对使用房产进行改造装修，拆改时，应书面征得甲方同意后，自行办理各项手续，经消防部门批准后实施。防火设计、施工必须符合国家有关消防技术规范，经验收合格后方可使用。擅自拆改租用场所，有碍消防安全的必须负责赔偿及由此造成的损失、造成事故应负法律责任。</w:t>
      </w:r>
    </w:p>
    <w:p w14:paraId="1D54BE21">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4、由于使用、保管不当，造成出租方消防设施损坏、丢失的必须负责修复或赔偿。</w:t>
      </w:r>
    </w:p>
    <w:p w14:paraId="08F269DB">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5、承租房产的单位(个人)应确保疏散通道、安全出口畅通，并设置符合国家规定的消防应急照明和消防安全疏散指示标志。</w:t>
      </w:r>
    </w:p>
    <w:p w14:paraId="7D2BE8B4">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6、承租房产作为公共娱乐场所的单位(个人)消防安全管理工作，应严格执行公安部发布的《公共娱乐场所消防安全管理规定》。</w:t>
      </w:r>
    </w:p>
    <w:p w14:paraId="4D477CAA">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7、承租房产的单位(个人)对消防安全管理工作，应严格执行《中华人民共和国消防法》、《厦门市消防条例》等相关规定。</w:t>
      </w:r>
    </w:p>
    <w:p w14:paraId="780CBD54">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8、承租单位(个人)应加强安全用电管理，承租方必须配备专(兼)职持证电工；对租赁范围内水电设施设备应经常检查，防止导线、管道及水电设施设备老化、超载、带病运行引发事故，若在租赁期间内引发安全事故（含火灾等），乙方应承担一切赔偿责任和法律责任，且甲方有权终止租赁合同。</w:t>
      </w:r>
    </w:p>
    <w:p w14:paraId="09CC8DD0">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9、承租单位(个人)必须依照政府有关部门的规定办好居住证、计生审检证等证件。</w:t>
      </w:r>
    </w:p>
    <w:p w14:paraId="6DEDD70A">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10、承租单位(个人)必须严格遵守《治安管理条例》，严禁在租赁场所内赌博、嫖娼、酗酒、打架斗殴、扰乱公共秩序。</w:t>
      </w:r>
    </w:p>
    <w:p w14:paraId="731F47EA">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11、承租房产范围内不得存在“三合一”即厂房、仓库（包括店面、办公）、宿舍合为一体；不得明火作业，如需电、气焊，必须征得甲方同意，并清理现场直径５米范围内的可燃物，派专人、专职监护；工作结束后应认真仔细清理现场，确认已无火险隐患，方可离开现场。</w:t>
      </w:r>
    </w:p>
    <w:p w14:paraId="54EE3956">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12、乙方在租赁期内应加强安全生产经营管理，若存在安全隐患，必须及时整改，若经市、区安全检查部门或消防部门以及甲方发出安全隐患整改通知后，乙方必须认真按通知书的要求进行整改，如拒绝整改或整改不到位，甲方有权终止本合同。</w:t>
      </w:r>
    </w:p>
    <w:p w14:paraId="7019D704">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三、本责任书作租赁合同的附件，具有同等法律效力，双方应明确责任，共同遵守，经双方签字(盖章)后生效，本责任书壹式叁份，甲方执贰份，乙方执壹份。</w:t>
      </w:r>
    </w:p>
    <w:p w14:paraId="64D344B5">
      <w:pPr>
        <w:pStyle w:val="2"/>
        <w:spacing w:line="400" w:lineRule="exact"/>
        <w:rPr>
          <w:rFonts w:ascii="仿宋" w:hAnsi="仿宋" w:eastAsia="仿宋"/>
          <w:sz w:val="28"/>
          <w:szCs w:val="28"/>
        </w:rPr>
      </w:pPr>
    </w:p>
    <w:p w14:paraId="100A5266">
      <w:pPr>
        <w:widowControl/>
        <w:spacing w:line="500" w:lineRule="exact"/>
        <w:ind w:left="-538" w:leftChars="-256" w:right="-512" w:rightChars="-244" w:firstLine="560" w:firstLineChars="200"/>
        <w:jc w:val="left"/>
        <w:rPr>
          <w:rFonts w:ascii="仿宋" w:hAnsi="仿宋" w:eastAsia="仿宋"/>
          <w:sz w:val="28"/>
          <w:szCs w:val="28"/>
        </w:rPr>
      </w:pPr>
      <w:r>
        <w:rPr>
          <w:rFonts w:hint="eastAsia" w:ascii="仿宋" w:hAnsi="仿宋" w:eastAsia="仿宋"/>
          <w:sz w:val="28"/>
          <w:szCs w:val="28"/>
        </w:rPr>
        <w:t>甲方：</w:t>
      </w:r>
      <w:r>
        <w:rPr>
          <w:rFonts w:hint="eastAsia" w:ascii="仿宋_GB2312" w:hAnsi="仿宋_GB2312" w:eastAsia="仿宋_GB2312" w:cs="仿宋_GB2312"/>
          <w:kern w:val="0"/>
          <w:sz w:val="24"/>
        </w:rPr>
        <w:t>厦门同安国有资本控股集团有限公司</w:t>
      </w:r>
      <w:r>
        <w:rPr>
          <w:rFonts w:ascii="仿宋" w:hAnsi="仿宋" w:eastAsia="仿宋"/>
          <w:sz w:val="28"/>
          <w:szCs w:val="28"/>
        </w:rPr>
        <w:t xml:space="preserve">  </w:t>
      </w:r>
      <w:r>
        <w:rPr>
          <w:rFonts w:hint="eastAsia" w:ascii="仿宋" w:hAnsi="仿宋" w:eastAsia="仿宋"/>
          <w:sz w:val="28"/>
          <w:szCs w:val="28"/>
        </w:rPr>
        <w:t xml:space="preserve">         乙方：</w:t>
      </w:r>
    </w:p>
    <w:p w14:paraId="6AA5A835">
      <w:pPr>
        <w:pStyle w:val="2"/>
        <w:spacing w:line="400" w:lineRule="exact"/>
        <w:rPr>
          <w:rFonts w:ascii="仿宋" w:hAnsi="仿宋" w:eastAsia="仿宋"/>
          <w:sz w:val="28"/>
          <w:szCs w:val="28"/>
        </w:rPr>
      </w:pPr>
    </w:p>
    <w:p w14:paraId="389780D8">
      <w:pPr>
        <w:pStyle w:val="2"/>
        <w:spacing w:line="400" w:lineRule="exac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 xml:space="preserve">     身份证号：</w:t>
      </w:r>
    </w:p>
    <w:p w14:paraId="0FA21E43">
      <w:pPr>
        <w:pStyle w:val="2"/>
        <w:spacing w:line="400" w:lineRule="exact"/>
        <w:rPr>
          <w:rFonts w:ascii="仿宋" w:hAnsi="仿宋" w:eastAsia="仿宋"/>
          <w:sz w:val="28"/>
          <w:szCs w:val="28"/>
        </w:rPr>
      </w:pPr>
      <w:r>
        <w:rPr>
          <w:rFonts w:hint="eastAsia" w:ascii="仿宋" w:hAnsi="仿宋" w:eastAsia="仿宋"/>
          <w:sz w:val="28"/>
          <w:szCs w:val="28"/>
        </w:rPr>
        <w:t>授权代表：</w:t>
      </w:r>
      <w:r>
        <w:rPr>
          <w:rFonts w:ascii="仿宋" w:hAnsi="仿宋" w:eastAsia="仿宋"/>
          <w:sz w:val="28"/>
          <w:szCs w:val="28"/>
        </w:rPr>
        <w:t xml:space="preserve">                           </w:t>
      </w:r>
      <w:r>
        <w:rPr>
          <w:rFonts w:hint="eastAsia" w:ascii="仿宋" w:hAnsi="仿宋" w:eastAsia="仿宋"/>
          <w:sz w:val="28"/>
          <w:szCs w:val="28"/>
        </w:rPr>
        <w:t xml:space="preserve">     授权代表：</w:t>
      </w:r>
    </w:p>
    <w:p w14:paraId="0B86CF59">
      <w:pPr>
        <w:pStyle w:val="2"/>
        <w:spacing w:line="400" w:lineRule="exact"/>
        <w:rPr>
          <w:rFonts w:ascii="仿宋" w:hAnsi="仿宋" w:eastAsia="仿宋"/>
          <w:sz w:val="28"/>
          <w:szCs w:val="28"/>
        </w:rPr>
      </w:pPr>
    </w:p>
    <w:p w14:paraId="519F2F37">
      <w:pPr>
        <w:pStyle w:val="2"/>
        <w:spacing w:line="400" w:lineRule="exact"/>
        <w:rPr>
          <w:rFonts w:ascii="仿宋" w:hAnsi="仿宋" w:eastAsia="仿宋"/>
          <w:sz w:val="30"/>
          <w:szCs w:val="30"/>
        </w:rPr>
      </w:pP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年  月  日</w:t>
      </w:r>
    </w:p>
    <w:p w14:paraId="5465775E">
      <w:pPr>
        <w:jc w:val="center"/>
        <w:rPr>
          <w:rFonts w:ascii="宋体" w:hAnsi="宋体"/>
          <w:b/>
          <w:bCs/>
          <w:sz w:val="36"/>
          <w:szCs w:val="36"/>
        </w:rPr>
      </w:pPr>
      <w:r>
        <w:rPr>
          <w:rFonts w:hint="eastAsia" w:ascii="宋体" w:hAnsi="宋体"/>
          <w:b/>
          <w:bCs/>
          <w:sz w:val="36"/>
          <w:szCs w:val="36"/>
        </w:rPr>
        <w:t>“门前三包”责任书</w:t>
      </w:r>
    </w:p>
    <w:p w14:paraId="7141FE8A">
      <w:pPr>
        <w:spacing w:line="240" w:lineRule="exact"/>
        <w:jc w:val="center"/>
        <w:rPr>
          <w:rFonts w:ascii="仿宋" w:hAnsi="仿宋" w:eastAsia="仿宋"/>
          <w:b/>
          <w:bCs/>
          <w:sz w:val="44"/>
          <w:szCs w:val="44"/>
        </w:rPr>
      </w:pPr>
    </w:p>
    <w:p w14:paraId="6617C027">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根据《厦门市人民政府关于印发厦门市沿街单位市容环境卫生责任区制度管理办法的通知》等有关文件规定，为加强市容环境卫生管理，进一步落实“门前三包”制度，创造文明、优美、整洁的经营环境。</w:t>
      </w:r>
    </w:p>
    <w:p w14:paraId="57277B04">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一、责任范围：责任人租赁（承包）经营管理场所（地）的临街建筑物外立面和相应的人行道、绿化地、空旷地、人行道边沿的台阶及水沟等区域。</w:t>
      </w:r>
    </w:p>
    <w:p w14:paraId="5C6E3FB2">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二、责任人负责责任范围内的环境卫生(简称包卫生)、市容环境秩序(简称包秩序)和绿化(简称包绿化)的维护与管理。具体内容与要求：</w:t>
      </w:r>
    </w:p>
    <w:p w14:paraId="03EDD2BA">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包卫生：保持责任范围内的地面无痰迹、口香糖等污垢，无垃圾袋、纸屑等废弃物、无污水溢流、无蚊蝇孳生地、无卫生死角；路面、台阶、路沿、路肩、水沟、沟井口和花坛、树穴、绿地及遮阳棚顶部整洁干净；自备足够的垃圾分类收集容器收集垃圾，并放置于适当位置。</w:t>
      </w:r>
    </w:p>
    <w:p w14:paraId="09E6F622">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包秩序：维持责任范围内的临街建筑物外立面、阳台等整洁美观、无污迹，商业橱窗摆设整齐，门牌号、门前广告招牌、夜景灯光、遮阳（雨）棚、空调室外机和排水（气）管等户外设施按要求设置，并随时保持完好和整洁；门牌号、门前广告招牌文字规范，无错、缺字现象；户外无擅自修建的水龙头和水池；无擅自修筑的连街斜道、无乱摆摊设点、跨店及超过核定面积占道经营问题；无乱张贴、乱涂写、乱悬挂、乱堆放、乱挖占、乱搭建、乱竖杆牌、乱停放车辆等影响市容观瞻和管理不规范的行为。</w:t>
      </w:r>
    </w:p>
    <w:p w14:paraId="13160663">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包绿化：负责责任区范围内的花草树木生长良好，维护绿化设施完好、无损坏；及时制止和劝阻践踏草坪、攀折树木、刻划树木、借助树木搭棚和悬挂物品、损坏花草树木和绿化设施等行为；无擅自占用、人为损坏绿地的行为。责任人必须认真履行责任书明确的职责，保证责任范围的环境卫生、市容秩序和绿化管理达到规定标准。</w:t>
      </w:r>
    </w:p>
    <w:p w14:paraId="4DEE229E">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三、责任人对责任范围内发生的违章行为应当及时予以劝阻和制止，劝阻和制止无效的，应及时向有关行政执法部门报告。</w:t>
      </w:r>
    </w:p>
    <w:p w14:paraId="7C954B5D">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责任人应积极主动配合出租方的管理与劝导，在责任人负责的责任区内发生严重违反“门前三包”行为的，出租方有权督促责任人整改，情节严重的，出租方有权中止租赁合同，产生的损失由责任人自行承担。</w:t>
      </w:r>
    </w:p>
    <w:p w14:paraId="37EF3FA2">
      <w:pPr>
        <w:adjustRightInd w:val="0"/>
        <w:snapToGrid w:val="0"/>
        <w:spacing w:line="480" w:lineRule="exact"/>
        <w:ind w:firstLine="480" w:firstLineChars="200"/>
        <w:rPr>
          <w:rFonts w:ascii="仿宋_GB2312" w:hAnsi="仿宋_GB2312" w:eastAsia="仿宋_GB2312" w:cs="仿宋_GB2312"/>
          <w:sz w:val="24"/>
        </w:rPr>
      </w:pPr>
    </w:p>
    <w:p w14:paraId="3E67DB86">
      <w:pPr>
        <w:adjustRightInd w:val="0"/>
        <w:snapToGrid w:val="0"/>
        <w:spacing w:line="400" w:lineRule="exact"/>
        <w:rPr>
          <w:rFonts w:ascii="仿宋" w:hAnsi="仿宋" w:eastAsia="仿宋" w:cs="宋体"/>
          <w:sz w:val="24"/>
        </w:rPr>
        <w:sectPr>
          <w:footerReference r:id="rId3" w:type="default"/>
          <w:footerReference r:id="rId4" w:type="even"/>
          <w:pgSz w:w="11906" w:h="16838"/>
          <w:pgMar w:top="1020" w:right="1418" w:bottom="850" w:left="1418" w:header="851" w:footer="992" w:gutter="0"/>
          <w:cols w:space="720" w:num="1"/>
          <w:docGrid w:type="lines" w:linePitch="312" w:charSpace="0"/>
        </w:sectPr>
      </w:pPr>
      <w:r>
        <w:rPr>
          <w:rFonts w:hint="eastAsia" w:ascii="仿宋" w:hAnsi="仿宋" w:eastAsia="仿宋" w:cs="宋体"/>
          <w:sz w:val="24"/>
        </w:rPr>
        <w:t>责任人：（签名）</w:t>
      </w:r>
      <w:r>
        <w:rPr>
          <w:rFonts w:ascii="仿宋" w:hAnsi="仿宋" w:eastAsia="仿宋" w:cs="宋体"/>
          <w:sz w:val="24"/>
        </w:rPr>
        <w:t xml:space="preserve"> </w:t>
      </w:r>
    </w:p>
    <w:p w14:paraId="01CB6C96">
      <w:pPr>
        <w:adjustRightInd w:val="0"/>
        <w:snapToGrid w:val="0"/>
        <w:spacing w:line="400" w:lineRule="exact"/>
        <w:rPr>
          <w:rFonts w:ascii="仿宋" w:hAnsi="仿宋" w:eastAsia="仿宋" w:cs="宋体"/>
          <w:sz w:val="24"/>
        </w:rPr>
      </w:pPr>
    </w:p>
    <w:p w14:paraId="6CA83D52">
      <w:pPr>
        <w:adjustRightInd w:val="0"/>
        <w:snapToGrid w:val="0"/>
        <w:spacing w:line="400" w:lineRule="exact"/>
        <w:rPr>
          <w:rFonts w:ascii="仿宋" w:hAnsi="仿宋" w:eastAsia="仿宋" w:cs="宋体"/>
          <w:sz w:val="30"/>
          <w:szCs w:val="30"/>
        </w:rPr>
      </w:pPr>
      <w:r>
        <w:rPr>
          <w:rFonts w:ascii="仿宋" w:hAnsi="仿宋" w:eastAsia="仿宋" w:cs="宋体"/>
          <w:sz w:val="24"/>
        </w:rPr>
        <w:t xml:space="preserve">           </w:t>
      </w:r>
    </w:p>
    <w:tbl>
      <w:tblPr>
        <w:tblStyle w:val="9"/>
        <w:tblW w:w="14725" w:type="dxa"/>
        <w:tblInd w:w="108" w:type="dxa"/>
        <w:tblLayout w:type="fixed"/>
        <w:tblCellMar>
          <w:top w:w="0" w:type="dxa"/>
          <w:left w:w="108" w:type="dxa"/>
          <w:bottom w:w="0" w:type="dxa"/>
          <w:right w:w="108" w:type="dxa"/>
        </w:tblCellMar>
      </w:tblPr>
      <w:tblGrid>
        <w:gridCol w:w="4599"/>
        <w:gridCol w:w="443"/>
        <w:gridCol w:w="6298"/>
        <w:gridCol w:w="2127"/>
        <w:gridCol w:w="1258"/>
      </w:tblGrid>
      <w:tr w14:paraId="7ED32996">
        <w:tblPrEx>
          <w:tblCellMar>
            <w:top w:w="0" w:type="dxa"/>
            <w:left w:w="108" w:type="dxa"/>
            <w:bottom w:w="0" w:type="dxa"/>
            <w:right w:w="108" w:type="dxa"/>
          </w:tblCellMar>
        </w:tblPrEx>
        <w:trPr>
          <w:trHeight w:val="702" w:hRule="atLeast"/>
        </w:trPr>
        <w:tc>
          <w:tcPr>
            <w:tcW w:w="14725" w:type="dxa"/>
            <w:gridSpan w:val="5"/>
            <w:tcBorders>
              <w:top w:val="nil"/>
              <w:left w:val="nil"/>
              <w:bottom w:val="nil"/>
              <w:right w:val="nil"/>
            </w:tcBorders>
            <w:shd w:val="clear" w:color="auto" w:fill="auto"/>
            <w:noWrap/>
            <w:vAlign w:val="center"/>
          </w:tcPr>
          <w:p w14:paraId="080E2A38">
            <w:pPr>
              <w:widowControl/>
              <w:jc w:val="center"/>
              <w:rPr>
                <w:rFonts w:ascii="宋体" w:hAnsi="宋体" w:cs="宋体"/>
                <w:b/>
                <w:bCs/>
                <w:kern w:val="0"/>
                <w:sz w:val="36"/>
                <w:szCs w:val="36"/>
              </w:rPr>
            </w:pPr>
            <w:r>
              <w:rPr>
                <w:rFonts w:hint="eastAsia" w:ascii="宋体" w:hAnsi="宋体" w:cs="宋体"/>
                <w:b/>
                <w:bCs/>
                <w:kern w:val="0"/>
                <w:sz w:val="36"/>
                <w:szCs w:val="36"/>
              </w:rPr>
              <w:t>房产使用权移交确认书</w:t>
            </w:r>
          </w:p>
        </w:tc>
      </w:tr>
      <w:tr w14:paraId="0DA2EFC3">
        <w:tblPrEx>
          <w:tblCellMar>
            <w:top w:w="0" w:type="dxa"/>
            <w:left w:w="108" w:type="dxa"/>
            <w:bottom w:w="0" w:type="dxa"/>
            <w:right w:w="108" w:type="dxa"/>
          </w:tblCellMar>
        </w:tblPrEx>
        <w:trPr>
          <w:trHeight w:val="559" w:hRule="atLeast"/>
        </w:trPr>
        <w:tc>
          <w:tcPr>
            <w:tcW w:w="4599" w:type="dxa"/>
            <w:tcBorders>
              <w:top w:val="nil"/>
              <w:left w:val="nil"/>
              <w:bottom w:val="nil"/>
              <w:right w:val="nil"/>
            </w:tcBorders>
            <w:shd w:val="clear" w:color="auto" w:fill="auto"/>
            <w:noWrap/>
            <w:vAlign w:val="center"/>
          </w:tcPr>
          <w:p w14:paraId="66AB6097">
            <w:pPr>
              <w:widowControl/>
              <w:jc w:val="center"/>
              <w:rPr>
                <w:rFonts w:ascii="宋体" w:hAnsi="宋体" w:cs="宋体"/>
                <w:b/>
                <w:bCs/>
                <w:kern w:val="0"/>
                <w:sz w:val="36"/>
                <w:szCs w:val="36"/>
              </w:rPr>
            </w:pPr>
          </w:p>
        </w:tc>
        <w:tc>
          <w:tcPr>
            <w:tcW w:w="443" w:type="dxa"/>
            <w:tcBorders>
              <w:top w:val="nil"/>
              <w:left w:val="nil"/>
              <w:bottom w:val="nil"/>
              <w:right w:val="nil"/>
            </w:tcBorders>
            <w:shd w:val="clear" w:color="auto" w:fill="auto"/>
            <w:noWrap/>
            <w:vAlign w:val="center"/>
          </w:tcPr>
          <w:p w14:paraId="46695EC9">
            <w:pPr>
              <w:widowControl/>
              <w:jc w:val="left"/>
              <w:rPr>
                <w:rFonts w:eastAsia="Times New Roman"/>
                <w:kern w:val="0"/>
                <w:sz w:val="20"/>
                <w:szCs w:val="20"/>
              </w:rPr>
            </w:pPr>
          </w:p>
        </w:tc>
        <w:tc>
          <w:tcPr>
            <w:tcW w:w="9683" w:type="dxa"/>
            <w:gridSpan w:val="3"/>
            <w:tcBorders>
              <w:top w:val="nil"/>
              <w:left w:val="nil"/>
              <w:bottom w:val="single" w:color="auto" w:sz="4" w:space="0"/>
              <w:right w:val="nil"/>
            </w:tcBorders>
            <w:shd w:val="clear" w:color="auto" w:fill="auto"/>
            <w:noWrap/>
            <w:vAlign w:val="center"/>
          </w:tcPr>
          <w:p w14:paraId="5F87F918">
            <w:pPr>
              <w:widowControl/>
              <w:jc w:val="right"/>
              <w:rPr>
                <w:rFonts w:ascii="仿宋_GB2312" w:hAnsi="仿宋_GB2312" w:eastAsia="仿宋_GB2312" w:cs="宋体"/>
                <w:kern w:val="0"/>
                <w:sz w:val="24"/>
              </w:rPr>
            </w:pPr>
            <w:r>
              <w:rPr>
                <w:rFonts w:hint="eastAsia" w:ascii="仿宋_GB2312" w:hAnsi="仿宋_GB2312" w:eastAsia="仿宋_GB2312" w:cs="宋体"/>
                <w:kern w:val="0"/>
                <w:sz w:val="24"/>
              </w:rPr>
              <w:t xml:space="preserve">移交时间：   年 </w:t>
            </w:r>
            <w:r>
              <w:rPr>
                <w:rFonts w:hint="eastAsia" w:ascii="仿宋_GB2312" w:hAnsi="仿宋_GB2312" w:eastAsia="仿宋_GB2312" w:cs="宋体"/>
                <w:kern w:val="0"/>
                <w:sz w:val="24"/>
                <w:lang w:val="en-US" w:eastAsia="zh-CN"/>
              </w:rPr>
              <w:t xml:space="preserve"> </w:t>
            </w:r>
            <w:r>
              <w:rPr>
                <w:rFonts w:hint="eastAsia" w:ascii="仿宋_GB2312" w:hAnsi="仿宋_GB2312" w:eastAsia="仿宋_GB2312" w:cs="宋体"/>
                <w:kern w:val="0"/>
                <w:sz w:val="24"/>
              </w:rPr>
              <w:t xml:space="preserve"> 月</w:t>
            </w:r>
            <w:r>
              <w:rPr>
                <w:rFonts w:hint="eastAsia" w:ascii="仿宋_GB2312" w:hAnsi="仿宋_GB2312" w:eastAsia="仿宋_GB2312" w:cs="宋体"/>
                <w:kern w:val="0"/>
                <w:sz w:val="24"/>
                <w:lang w:val="en-US" w:eastAsia="zh-CN"/>
              </w:rPr>
              <w:t xml:space="preserve"> </w:t>
            </w:r>
            <w:r>
              <w:rPr>
                <w:rFonts w:hint="eastAsia" w:ascii="仿宋_GB2312" w:hAnsi="仿宋_GB2312" w:eastAsia="仿宋_GB2312" w:cs="宋体"/>
                <w:kern w:val="0"/>
                <w:sz w:val="24"/>
              </w:rPr>
              <w:t xml:space="preserve">  日    </w:t>
            </w:r>
          </w:p>
        </w:tc>
      </w:tr>
      <w:tr w14:paraId="28AFD4CC">
        <w:tblPrEx>
          <w:tblCellMar>
            <w:top w:w="0" w:type="dxa"/>
            <w:left w:w="108" w:type="dxa"/>
            <w:bottom w:w="0" w:type="dxa"/>
            <w:right w:w="108" w:type="dxa"/>
          </w:tblCellMar>
        </w:tblPrEx>
        <w:trPr>
          <w:trHeight w:val="702" w:hRule="atLeast"/>
        </w:trPr>
        <w:tc>
          <w:tcPr>
            <w:tcW w:w="4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6D2375">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房屋坐落</w:t>
            </w:r>
          </w:p>
        </w:tc>
        <w:tc>
          <w:tcPr>
            <w:tcW w:w="6741" w:type="dxa"/>
            <w:gridSpan w:val="2"/>
            <w:tcBorders>
              <w:top w:val="single" w:color="auto" w:sz="4" w:space="0"/>
              <w:left w:val="nil"/>
              <w:bottom w:val="single" w:color="auto" w:sz="4" w:space="0"/>
              <w:right w:val="nil"/>
            </w:tcBorders>
            <w:shd w:val="clear" w:color="auto" w:fill="auto"/>
            <w:noWrap/>
            <w:vAlign w:val="center"/>
          </w:tcPr>
          <w:p w14:paraId="1AF140B0">
            <w:pPr>
              <w:widowControl/>
              <w:jc w:val="center"/>
              <w:rPr>
                <w:rFonts w:ascii="仿宋_GB2312" w:hAnsi="仿宋_GB2312" w:eastAsia="仿宋_GB2312" w:cs="宋体"/>
                <w:kern w:val="0"/>
                <w:sz w:val="24"/>
              </w:rPr>
            </w:pPr>
          </w:p>
        </w:tc>
        <w:tc>
          <w:tcPr>
            <w:tcW w:w="2127" w:type="dxa"/>
            <w:tcBorders>
              <w:top w:val="nil"/>
              <w:left w:val="single" w:color="auto" w:sz="4" w:space="0"/>
              <w:bottom w:val="single" w:color="auto" w:sz="4" w:space="0"/>
              <w:right w:val="single" w:color="auto" w:sz="4" w:space="0"/>
            </w:tcBorders>
            <w:shd w:val="clear" w:color="auto" w:fill="auto"/>
            <w:noWrap/>
            <w:vAlign w:val="center"/>
          </w:tcPr>
          <w:p w14:paraId="06ACDEAA">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面积（</w:t>
            </w:r>
            <w:r>
              <w:rPr>
                <w:rFonts w:hint="eastAsia" w:ascii="宋体" w:hAnsi="宋体" w:cs="宋体"/>
                <w:kern w:val="0"/>
                <w:sz w:val="24"/>
              </w:rPr>
              <w:t>㎡</w:t>
            </w:r>
            <w:r>
              <w:rPr>
                <w:rFonts w:hint="eastAsia" w:ascii="仿宋_GB2312" w:hAnsi="仿宋_GB2312" w:eastAsia="仿宋_GB2312" w:cs="宋体"/>
                <w:kern w:val="0"/>
                <w:sz w:val="24"/>
              </w:rPr>
              <w:t xml:space="preserve">）： </w:t>
            </w:r>
          </w:p>
        </w:tc>
        <w:tc>
          <w:tcPr>
            <w:tcW w:w="1258" w:type="dxa"/>
            <w:tcBorders>
              <w:top w:val="nil"/>
              <w:left w:val="nil"/>
              <w:bottom w:val="single" w:color="auto" w:sz="4" w:space="0"/>
              <w:right w:val="single" w:color="auto" w:sz="4" w:space="0"/>
            </w:tcBorders>
            <w:shd w:val="clear" w:color="auto" w:fill="auto"/>
            <w:noWrap/>
            <w:vAlign w:val="center"/>
          </w:tcPr>
          <w:p w14:paraId="378AEE19">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备注</w:t>
            </w:r>
          </w:p>
        </w:tc>
      </w:tr>
      <w:tr w14:paraId="0A148E4A">
        <w:tblPrEx>
          <w:tblCellMar>
            <w:top w:w="0" w:type="dxa"/>
            <w:left w:w="108" w:type="dxa"/>
            <w:bottom w:w="0" w:type="dxa"/>
            <w:right w:w="108" w:type="dxa"/>
          </w:tblCellMar>
        </w:tblPrEx>
        <w:trPr>
          <w:trHeight w:val="702" w:hRule="atLeast"/>
        </w:trPr>
        <w:tc>
          <w:tcPr>
            <w:tcW w:w="4599" w:type="dxa"/>
            <w:vMerge w:val="restart"/>
            <w:tcBorders>
              <w:top w:val="nil"/>
              <w:left w:val="single" w:color="auto" w:sz="4" w:space="0"/>
              <w:bottom w:val="single" w:color="000000" w:sz="4" w:space="0"/>
              <w:right w:val="single" w:color="auto" w:sz="4" w:space="0"/>
            </w:tcBorders>
            <w:shd w:val="clear" w:color="auto" w:fill="auto"/>
            <w:noWrap/>
            <w:vAlign w:val="center"/>
          </w:tcPr>
          <w:p w14:paraId="05EBE128">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配套情况</w:t>
            </w:r>
          </w:p>
        </w:tc>
        <w:tc>
          <w:tcPr>
            <w:tcW w:w="8868" w:type="dxa"/>
            <w:gridSpan w:val="3"/>
            <w:tcBorders>
              <w:top w:val="single" w:color="auto" w:sz="4" w:space="0"/>
              <w:left w:val="nil"/>
              <w:bottom w:val="single" w:color="auto" w:sz="4" w:space="0"/>
              <w:right w:val="single" w:color="000000" w:sz="4" w:space="0"/>
            </w:tcBorders>
            <w:shd w:val="clear" w:color="auto" w:fill="auto"/>
            <w:vAlign w:val="center"/>
          </w:tcPr>
          <w:p w14:paraId="3FCB0B98">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主体结构：</w:t>
            </w:r>
          </w:p>
        </w:tc>
        <w:tc>
          <w:tcPr>
            <w:tcW w:w="1258" w:type="dxa"/>
            <w:vMerge w:val="restart"/>
            <w:tcBorders>
              <w:top w:val="nil"/>
              <w:left w:val="single" w:color="auto" w:sz="4" w:space="0"/>
              <w:bottom w:val="single" w:color="000000" w:sz="4" w:space="0"/>
              <w:right w:val="single" w:color="auto" w:sz="4" w:space="0"/>
            </w:tcBorders>
            <w:shd w:val="clear" w:color="auto" w:fill="auto"/>
            <w:vAlign w:val="center"/>
          </w:tcPr>
          <w:p w14:paraId="25DA3457">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　</w:t>
            </w:r>
          </w:p>
        </w:tc>
      </w:tr>
      <w:tr w14:paraId="2439BE09">
        <w:tblPrEx>
          <w:tblCellMar>
            <w:top w:w="0" w:type="dxa"/>
            <w:left w:w="108" w:type="dxa"/>
            <w:bottom w:w="0" w:type="dxa"/>
            <w:right w:w="108" w:type="dxa"/>
          </w:tblCellMar>
        </w:tblPrEx>
        <w:trPr>
          <w:trHeight w:val="702" w:hRule="atLeast"/>
        </w:trPr>
        <w:tc>
          <w:tcPr>
            <w:tcW w:w="4599" w:type="dxa"/>
            <w:vMerge w:val="continue"/>
            <w:tcBorders>
              <w:top w:val="nil"/>
              <w:left w:val="single" w:color="auto" w:sz="4" w:space="0"/>
              <w:bottom w:val="single" w:color="000000" w:sz="4" w:space="0"/>
              <w:right w:val="single" w:color="auto" w:sz="4" w:space="0"/>
            </w:tcBorders>
            <w:shd w:val="clear" w:color="auto" w:fill="auto"/>
            <w:vAlign w:val="center"/>
          </w:tcPr>
          <w:p w14:paraId="7237ECF0">
            <w:pPr>
              <w:widowControl/>
              <w:jc w:val="left"/>
              <w:rPr>
                <w:rFonts w:ascii="仿宋_GB2312" w:hAnsi="仿宋_GB2312" w:eastAsia="仿宋_GB2312" w:cs="宋体"/>
                <w:kern w:val="0"/>
                <w:sz w:val="24"/>
              </w:rPr>
            </w:pPr>
          </w:p>
        </w:tc>
        <w:tc>
          <w:tcPr>
            <w:tcW w:w="8868" w:type="dxa"/>
            <w:gridSpan w:val="3"/>
            <w:tcBorders>
              <w:top w:val="single" w:color="auto" w:sz="4" w:space="0"/>
              <w:left w:val="nil"/>
              <w:bottom w:val="single" w:color="auto" w:sz="4" w:space="0"/>
              <w:right w:val="nil"/>
            </w:tcBorders>
            <w:shd w:val="clear" w:color="auto" w:fill="auto"/>
            <w:vAlign w:val="center"/>
          </w:tcPr>
          <w:p w14:paraId="1380757D">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门：                              ；窗：</w:t>
            </w:r>
          </w:p>
        </w:tc>
        <w:tc>
          <w:tcPr>
            <w:tcW w:w="1258" w:type="dxa"/>
            <w:vMerge w:val="continue"/>
            <w:tcBorders>
              <w:top w:val="nil"/>
              <w:left w:val="single" w:color="auto" w:sz="4" w:space="0"/>
              <w:bottom w:val="single" w:color="000000" w:sz="4" w:space="0"/>
              <w:right w:val="single" w:color="auto" w:sz="4" w:space="0"/>
            </w:tcBorders>
            <w:vAlign w:val="center"/>
          </w:tcPr>
          <w:p w14:paraId="4C8B3461">
            <w:pPr>
              <w:widowControl/>
              <w:jc w:val="left"/>
              <w:rPr>
                <w:rFonts w:ascii="仿宋_GB2312" w:hAnsi="仿宋_GB2312" w:eastAsia="仿宋_GB2312" w:cs="宋体"/>
                <w:kern w:val="0"/>
                <w:sz w:val="24"/>
              </w:rPr>
            </w:pPr>
          </w:p>
        </w:tc>
      </w:tr>
      <w:tr w14:paraId="283E15DF">
        <w:tblPrEx>
          <w:tblCellMar>
            <w:top w:w="0" w:type="dxa"/>
            <w:left w:w="108" w:type="dxa"/>
            <w:bottom w:w="0" w:type="dxa"/>
            <w:right w:w="108" w:type="dxa"/>
          </w:tblCellMar>
        </w:tblPrEx>
        <w:trPr>
          <w:trHeight w:val="702" w:hRule="atLeast"/>
        </w:trPr>
        <w:tc>
          <w:tcPr>
            <w:tcW w:w="4599" w:type="dxa"/>
            <w:vMerge w:val="continue"/>
            <w:tcBorders>
              <w:top w:val="nil"/>
              <w:left w:val="single" w:color="auto" w:sz="4" w:space="0"/>
              <w:bottom w:val="single" w:color="000000" w:sz="4" w:space="0"/>
              <w:right w:val="single" w:color="auto" w:sz="4" w:space="0"/>
            </w:tcBorders>
            <w:shd w:val="clear" w:color="auto" w:fill="auto"/>
            <w:vAlign w:val="center"/>
          </w:tcPr>
          <w:p w14:paraId="42AC37E6">
            <w:pPr>
              <w:widowControl/>
              <w:jc w:val="left"/>
              <w:rPr>
                <w:rFonts w:ascii="仿宋_GB2312" w:hAnsi="仿宋_GB2312" w:eastAsia="仿宋_GB2312" w:cs="宋体"/>
                <w:kern w:val="0"/>
                <w:sz w:val="24"/>
              </w:rPr>
            </w:pPr>
          </w:p>
        </w:tc>
        <w:tc>
          <w:tcPr>
            <w:tcW w:w="8868" w:type="dxa"/>
            <w:gridSpan w:val="3"/>
            <w:tcBorders>
              <w:top w:val="single" w:color="auto" w:sz="4" w:space="0"/>
              <w:left w:val="nil"/>
              <w:bottom w:val="single" w:color="auto" w:sz="4" w:space="0"/>
              <w:right w:val="nil"/>
            </w:tcBorders>
            <w:shd w:val="clear" w:color="auto" w:fill="auto"/>
            <w:vAlign w:val="center"/>
          </w:tcPr>
          <w:p w14:paraId="41AEE6D1">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用水：                            ；用电：</w:t>
            </w:r>
          </w:p>
        </w:tc>
        <w:tc>
          <w:tcPr>
            <w:tcW w:w="1258" w:type="dxa"/>
            <w:vMerge w:val="continue"/>
            <w:tcBorders>
              <w:top w:val="nil"/>
              <w:left w:val="single" w:color="auto" w:sz="4" w:space="0"/>
              <w:bottom w:val="single" w:color="000000" w:sz="4" w:space="0"/>
              <w:right w:val="single" w:color="auto" w:sz="4" w:space="0"/>
            </w:tcBorders>
            <w:vAlign w:val="center"/>
          </w:tcPr>
          <w:p w14:paraId="6A5CB486">
            <w:pPr>
              <w:widowControl/>
              <w:jc w:val="left"/>
              <w:rPr>
                <w:rFonts w:ascii="仿宋_GB2312" w:hAnsi="仿宋_GB2312" w:eastAsia="仿宋_GB2312" w:cs="宋体"/>
                <w:kern w:val="0"/>
                <w:sz w:val="24"/>
              </w:rPr>
            </w:pPr>
          </w:p>
        </w:tc>
      </w:tr>
      <w:tr w14:paraId="3CE8F812">
        <w:tblPrEx>
          <w:tblCellMar>
            <w:top w:w="0" w:type="dxa"/>
            <w:left w:w="108" w:type="dxa"/>
            <w:bottom w:w="0" w:type="dxa"/>
            <w:right w:w="108" w:type="dxa"/>
          </w:tblCellMar>
        </w:tblPrEx>
        <w:trPr>
          <w:trHeight w:val="702" w:hRule="atLeast"/>
        </w:trPr>
        <w:tc>
          <w:tcPr>
            <w:tcW w:w="4599" w:type="dxa"/>
            <w:vMerge w:val="continue"/>
            <w:tcBorders>
              <w:top w:val="nil"/>
              <w:left w:val="single" w:color="auto" w:sz="4" w:space="0"/>
              <w:bottom w:val="single" w:color="000000" w:sz="4" w:space="0"/>
              <w:right w:val="single" w:color="auto" w:sz="4" w:space="0"/>
            </w:tcBorders>
            <w:shd w:val="clear" w:color="auto" w:fill="auto"/>
            <w:vAlign w:val="center"/>
          </w:tcPr>
          <w:p w14:paraId="491844BE">
            <w:pPr>
              <w:widowControl/>
              <w:jc w:val="left"/>
              <w:rPr>
                <w:rFonts w:ascii="仿宋_GB2312" w:hAnsi="仿宋_GB2312" w:eastAsia="仿宋_GB2312" w:cs="宋体"/>
                <w:kern w:val="0"/>
                <w:sz w:val="24"/>
              </w:rPr>
            </w:pPr>
          </w:p>
        </w:tc>
        <w:tc>
          <w:tcPr>
            <w:tcW w:w="8868" w:type="dxa"/>
            <w:gridSpan w:val="3"/>
            <w:tcBorders>
              <w:top w:val="single" w:color="auto" w:sz="4" w:space="0"/>
              <w:left w:val="nil"/>
              <w:bottom w:val="single" w:color="auto" w:sz="4" w:space="0"/>
              <w:right w:val="nil"/>
            </w:tcBorders>
            <w:shd w:val="clear" w:color="auto" w:fill="auto"/>
            <w:vAlign w:val="center"/>
          </w:tcPr>
          <w:p w14:paraId="22548135">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卫生：</w:t>
            </w:r>
          </w:p>
        </w:tc>
        <w:tc>
          <w:tcPr>
            <w:tcW w:w="1258" w:type="dxa"/>
            <w:vMerge w:val="continue"/>
            <w:tcBorders>
              <w:top w:val="nil"/>
              <w:left w:val="single" w:color="auto" w:sz="4" w:space="0"/>
              <w:bottom w:val="single" w:color="000000" w:sz="4" w:space="0"/>
              <w:right w:val="single" w:color="auto" w:sz="4" w:space="0"/>
            </w:tcBorders>
            <w:vAlign w:val="center"/>
          </w:tcPr>
          <w:p w14:paraId="61D28785">
            <w:pPr>
              <w:widowControl/>
              <w:jc w:val="left"/>
              <w:rPr>
                <w:rFonts w:ascii="仿宋_GB2312" w:hAnsi="仿宋_GB2312" w:eastAsia="仿宋_GB2312" w:cs="宋体"/>
                <w:kern w:val="0"/>
                <w:sz w:val="24"/>
              </w:rPr>
            </w:pPr>
          </w:p>
        </w:tc>
      </w:tr>
      <w:tr w14:paraId="26730A3A">
        <w:tblPrEx>
          <w:tblCellMar>
            <w:top w:w="0" w:type="dxa"/>
            <w:left w:w="108" w:type="dxa"/>
            <w:bottom w:w="0" w:type="dxa"/>
            <w:right w:w="108" w:type="dxa"/>
          </w:tblCellMar>
        </w:tblPrEx>
        <w:trPr>
          <w:trHeight w:val="702" w:hRule="atLeast"/>
        </w:trPr>
        <w:tc>
          <w:tcPr>
            <w:tcW w:w="4599" w:type="dxa"/>
            <w:tcBorders>
              <w:top w:val="nil"/>
              <w:left w:val="single" w:color="auto" w:sz="4" w:space="0"/>
              <w:bottom w:val="single" w:color="auto" w:sz="4" w:space="0"/>
              <w:right w:val="single" w:color="auto" w:sz="4" w:space="0"/>
            </w:tcBorders>
            <w:shd w:val="clear" w:color="auto" w:fill="auto"/>
            <w:vAlign w:val="center"/>
          </w:tcPr>
          <w:p w14:paraId="30CDB0C0">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其他</w:t>
            </w:r>
          </w:p>
        </w:tc>
        <w:tc>
          <w:tcPr>
            <w:tcW w:w="8868" w:type="dxa"/>
            <w:gridSpan w:val="3"/>
            <w:tcBorders>
              <w:top w:val="single" w:color="auto" w:sz="4" w:space="0"/>
              <w:left w:val="nil"/>
              <w:bottom w:val="single" w:color="auto" w:sz="4" w:space="0"/>
              <w:right w:val="nil"/>
            </w:tcBorders>
            <w:shd w:val="clear" w:color="auto" w:fill="auto"/>
            <w:noWrap/>
            <w:vAlign w:val="center"/>
          </w:tcPr>
          <w:p w14:paraId="12711A5C">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　</w:t>
            </w:r>
          </w:p>
        </w:tc>
        <w:tc>
          <w:tcPr>
            <w:tcW w:w="1258" w:type="dxa"/>
            <w:vMerge w:val="continue"/>
            <w:tcBorders>
              <w:top w:val="nil"/>
              <w:left w:val="single" w:color="auto" w:sz="4" w:space="0"/>
              <w:bottom w:val="single" w:color="000000" w:sz="4" w:space="0"/>
              <w:right w:val="single" w:color="auto" w:sz="4" w:space="0"/>
            </w:tcBorders>
            <w:vAlign w:val="center"/>
          </w:tcPr>
          <w:p w14:paraId="7D598215">
            <w:pPr>
              <w:widowControl/>
              <w:jc w:val="left"/>
              <w:rPr>
                <w:rFonts w:ascii="仿宋_GB2312" w:hAnsi="仿宋_GB2312" w:eastAsia="仿宋_GB2312" w:cs="宋体"/>
                <w:kern w:val="0"/>
                <w:sz w:val="24"/>
              </w:rPr>
            </w:pPr>
          </w:p>
        </w:tc>
      </w:tr>
      <w:tr w14:paraId="73898258">
        <w:tblPrEx>
          <w:tblCellMar>
            <w:top w:w="0" w:type="dxa"/>
            <w:left w:w="108" w:type="dxa"/>
            <w:bottom w:w="0" w:type="dxa"/>
            <w:right w:w="108" w:type="dxa"/>
          </w:tblCellMar>
        </w:tblPrEx>
        <w:trPr>
          <w:trHeight w:val="420" w:hRule="atLeast"/>
        </w:trPr>
        <w:tc>
          <w:tcPr>
            <w:tcW w:w="4599" w:type="dxa"/>
            <w:tcBorders>
              <w:top w:val="nil"/>
              <w:left w:val="nil"/>
              <w:bottom w:val="nil"/>
              <w:right w:val="nil"/>
            </w:tcBorders>
            <w:shd w:val="clear" w:color="auto" w:fill="auto"/>
            <w:noWrap/>
            <w:vAlign w:val="center"/>
          </w:tcPr>
          <w:p w14:paraId="0EF63D2B">
            <w:pPr>
              <w:widowControl/>
              <w:jc w:val="center"/>
              <w:rPr>
                <w:rFonts w:ascii="仿宋_GB2312" w:hAnsi="仿宋_GB2312" w:eastAsia="仿宋_GB2312" w:cs="宋体"/>
                <w:kern w:val="0"/>
                <w:sz w:val="24"/>
              </w:rPr>
            </w:pPr>
          </w:p>
        </w:tc>
        <w:tc>
          <w:tcPr>
            <w:tcW w:w="443" w:type="dxa"/>
            <w:tcBorders>
              <w:top w:val="nil"/>
              <w:left w:val="nil"/>
              <w:bottom w:val="nil"/>
              <w:right w:val="nil"/>
            </w:tcBorders>
            <w:shd w:val="clear" w:color="auto" w:fill="auto"/>
            <w:noWrap/>
            <w:vAlign w:val="center"/>
          </w:tcPr>
          <w:p w14:paraId="141DC4F3">
            <w:pPr>
              <w:widowControl/>
              <w:jc w:val="center"/>
              <w:rPr>
                <w:rFonts w:eastAsia="Times New Roman"/>
                <w:kern w:val="0"/>
                <w:sz w:val="20"/>
                <w:szCs w:val="20"/>
              </w:rPr>
            </w:pPr>
          </w:p>
        </w:tc>
        <w:tc>
          <w:tcPr>
            <w:tcW w:w="6298" w:type="dxa"/>
            <w:tcBorders>
              <w:top w:val="nil"/>
              <w:left w:val="nil"/>
              <w:bottom w:val="nil"/>
              <w:right w:val="nil"/>
            </w:tcBorders>
            <w:shd w:val="clear" w:color="auto" w:fill="auto"/>
            <w:noWrap/>
            <w:vAlign w:val="center"/>
          </w:tcPr>
          <w:p w14:paraId="1CC2FC05">
            <w:pPr>
              <w:widowControl/>
              <w:jc w:val="center"/>
              <w:rPr>
                <w:rFonts w:eastAsia="Times New Roman"/>
                <w:kern w:val="0"/>
                <w:sz w:val="20"/>
                <w:szCs w:val="20"/>
              </w:rPr>
            </w:pPr>
          </w:p>
        </w:tc>
        <w:tc>
          <w:tcPr>
            <w:tcW w:w="2127" w:type="dxa"/>
            <w:tcBorders>
              <w:top w:val="nil"/>
              <w:left w:val="nil"/>
              <w:bottom w:val="nil"/>
              <w:right w:val="nil"/>
            </w:tcBorders>
            <w:shd w:val="clear" w:color="auto" w:fill="auto"/>
            <w:noWrap/>
            <w:vAlign w:val="center"/>
          </w:tcPr>
          <w:p w14:paraId="53115D32">
            <w:pPr>
              <w:widowControl/>
              <w:jc w:val="center"/>
              <w:rPr>
                <w:rFonts w:eastAsia="Times New Roman"/>
                <w:kern w:val="0"/>
                <w:sz w:val="20"/>
                <w:szCs w:val="20"/>
              </w:rPr>
            </w:pPr>
          </w:p>
        </w:tc>
        <w:tc>
          <w:tcPr>
            <w:tcW w:w="1258" w:type="dxa"/>
            <w:tcBorders>
              <w:top w:val="nil"/>
              <w:left w:val="nil"/>
              <w:bottom w:val="nil"/>
              <w:right w:val="nil"/>
            </w:tcBorders>
            <w:shd w:val="clear" w:color="auto" w:fill="auto"/>
            <w:vAlign w:val="center"/>
          </w:tcPr>
          <w:p w14:paraId="3D1F28F0">
            <w:pPr>
              <w:widowControl/>
              <w:jc w:val="center"/>
              <w:rPr>
                <w:rFonts w:eastAsia="Times New Roman"/>
                <w:kern w:val="0"/>
                <w:sz w:val="20"/>
                <w:szCs w:val="20"/>
              </w:rPr>
            </w:pPr>
          </w:p>
        </w:tc>
      </w:tr>
      <w:tr w14:paraId="1919BDCE">
        <w:tblPrEx>
          <w:tblCellMar>
            <w:top w:w="0" w:type="dxa"/>
            <w:left w:w="108" w:type="dxa"/>
            <w:bottom w:w="0" w:type="dxa"/>
            <w:right w:w="108" w:type="dxa"/>
          </w:tblCellMar>
        </w:tblPrEx>
        <w:trPr>
          <w:trHeight w:val="702" w:hRule="atLeast"/>
        </w:trPr>
        <w:tc>
          <w:tcPr>
            <w:tcW w:w="5042" w:type="dxa"/>
            <w:gridSpan w:val="2"/>
            <w:tcBorders>
              <w:top w:val="nil"/>
              <w:left w:val="nil"/>
              <w:bottom w:val="nil"/>
              <w:right w:val="nil"/>
            </w:tcBorders>
            <w:shd w:val="clear" w:color="auto" w:fill="auto"/>
            <w:noWrap/>
            <w:vAlign w:val="center"/>
          </w:tcPr>
          <w:p w14:paraId="5B6A00D6">
            <w:pPr>
              <w:widowControl/>
              <w:spacing w:line="500" w:lineRule="exact"/>
              <w:ind w:left="-538" w:leftChars="-256" w:right="-512" w:rightChars="-244" w:firstLine="480" w:firstLineChars="200"/>
              <w:jc w:val="left"/>
              <w:rPr>
                <w:rFonts w:ascii="仿宋_GB2312" w:hAnsi="仿宋_GB2312" w:eastAsia="仿宋_GB2312" w:cs="仿宋_GB2312"/>
                <w:kern w:val="0"/>
                <w:sz w:val="24"/>
              </w:rPr>
            </w:pPr>
            <w:r>
              <w:rPr>
                <w:rFonts w:hint="eastAsia" w:ascii="仿宋_GB2312" w:hAnsi="仿宋_GB2312" w:eastAsia="仿宋_GB2312" w:cs="宋体"/>
                <w:kern w:val="0"/>
                <w:sz w:val="24"/>
              </w:rPr>
              <w:t>移交方：</w:t>
            </w:r>
            <w:r>
              <w:rPr>
                <w:rFonts w:hint="default" w:ascii="宋体" w:hAnsi="宋体" w:eastAsia="宋体" w:cs="宋体"/>
                <w:b/>
                <w:bCs/>
                <w:sz w:val="52"/>
                <w:szCs w:val="52"/>
                <w:lang w:val="en-US" w:eastAsia="zh-CN"/>
              </w:rPr>
              <w:t xml:space="preserve">   </w:t>
            </w:r>
          </w:p>
          <w:p w14:paraId="490223C9">
            <w:pPr>
              <w:widowControl/>
              <w:jc w:val="left"/>
              <w:rPr>
                <w:rFonts w:ascii="仿宋_GB2312" w:hAnsi="仿宋_GB2312" w:eastAsia="仿宋_GB2312" w:cs="宋体"/>
                <w:kern w:val="0"/>
                <w:sz w:val="24"/>
              </w:rPr>
            </w:pPr>
          </w:p>
        </w:tc>
        <w:tc>
          <w:tcPr>
            <w:tcW w:w="9683" w:type="dxa"/>
            <w:gridSpan w:val="3"/>
            <w:tcBorders>
              <w:top w:val="nil"/>
              <w:left w:val="nil"/>
              <w:bottom w:val="nil"/>
              <w:right w:val="nil"/>
            </w:tcBorders>
            <w:shd w:val="clear" w:color="auto" w:fill="auto"/>
            <w:noWrap/>
            <w:vAlign w:val="center"/>
          </w:tcPr>
          <w:p w14:paraId="56864049">
            <w:pPr>
              <w:widowControl/>
              <w:ind w:firstLine="3840" w:firstLineChars="1600"/>
              <w:jc w:val="left"/>
              <w:rPr>
                <w:rFonts w:ascii="仿宋_GB2312" w:hAnsi="仿宋_GB2312" w:eastAsia="仿宋_GB2312" w:cs="宋体"/>
                <w:kern w:val="0"/>
                <w:sz w:val="24"/>
              </w:rPr>
            </w:pPr>
            <w:r>
              <w:rPr>
                <w:rFonts w:hint="eastAsia" w:ascii="仿宋_GB2312" w:hAnsi="仿宋_GB2312" w:eastAsia="仿宋_GB2312" w:cs="宋体"/>
                <w:kern w:val="0"/>
                <w:sz w:val="24"/>
              </w:rPr>
              <w:t xml:space="preserve">接收方： </w:t>
            </w:r>
          </w:p>
        </w:tc>
      </w:tr>
      <w:tr w14:paraId="4B462CF2">
        <w:tblPrEx>
          <w:tblCellMar>
            <w:top w:w="0" w:type="dxa"/>
            <w:left w:w="108" w:type="dxa"/>
            <w:bottom w:w="0" w:type="dxa"/>
            <w:right w:w="108" w:type="dxa"/>
          </w:tblCellMar>
        </w:tblPrEx>
        <w:trPr>
          <w:trHeight w:val="702" w:hRule="atLeast"/>
        </w:trPr>
        <w:tc>
          <w:tcPr>
            <w:tcW w:w="5042" w:type="dxa"/>
            <w:gridSpan w:val="2"/>
            <w:tcBorders>
              <w:top w:val="nil"/>
              <w:left w:val="nil"/>
              <w:bottom w:val="nil"/>
              <w:right w:val="nil"/>
            </w:tcBorders>
            <w:shd w:val="clear" w:color="auto" w:fill="auto"/>
            <w:noWrap/>
            <w:vAlign w:val="center"/>
          </w:tcPr>
          <w:p w14:paraId="7C5B19D8">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 xml:space="preserve">代表签字:                       </w:t>
            </w:r>
          </w:p>
        </w:tc>
        <w:tc>
          <w:tcPr>
            <w:tcW w:w="9683" w:type="dxa"/>
            <w:gridSpan w:val="3"/>
            <w:tcBorders>
              <w:top w:val="nil"/>
              <w:left w:val="nil"/>
              <w:bottom w:val="nil"/>
              <w:right w:val="nil"/>
            </w:tcBorders>
            <w:shd w:val="clear" w:color="auto" w:fill="auto"/>
            <w:noWrap/>
            <w:vAlign w:val="center"/>
          </w:tcPr>
          <w:p w14:paraId="5E34548C">
            <w:pPr>
              <w:widowControl/>
              <w:ind w:firstLine="3840" w:firstLineChars="1600"/>
              <w:jc w:val="left"/>
              <w:rPr>
                <w:rFonts w:ascii="仿宋_GB2312" w:hAnsi="仿宋_GB2312" w:eastAsia="仿宋_GB2312" w:cs="宋体"/>
                <w:kern w:val="0"/>
                <w:sz w:val="24"/>
              </w:rPr>
            </w:pPr>
            <w:r>
              <w:rPr>
                <w:rFonts w:hint="eastAsia" w:ascii="仿宋_GB2312" w:hAnsi="仿宋_GB2312" w:eastAsia="仿宋_GB2312" w:cs="宋体"/>
                <w:kern w:val="0"/>
                <w:sz w:val="24"/>
              </w:rPr>
              <w:t>代表签字:</w:t>
            </w:r>
          </w:p>
        </w:tc>
      </w:tr>
      <w:tr w14:paraId="61DDC189">
        <w:tblPrEx>
          <w:tblCellMar>
            <w:top w:w="0" w:type="dxa"/>
            <w:left w:w="108" w:type="dxa"/>
            <w:bottom w:w="0" w:type="dxa"/>
            <w:right w:w="108" w:type="dxa"/>
          </w:tblCellMar>
        </w:tblPrEx>
        <w:trPr>
          <w:trHeight w:val="702" w:hRule="atLeast"/>
        </w:trPr>
        <w:tc>
          <w:tcPr>
            <w:tcW w:w="5042" w:type="dxa"/>
            <w:gridSpan w:val="2"/>
            <w:tcBorders>
              <w:top w:val="nil"/>
              <w:left w:val="nil"/>
              <w:bottom w:val="nil"/>
              <w:right w:val="nil"/>
            </w:tcBorders>
            <w:shd w:val="clear" w:color="auto" w:fill="auto"/>
            <w:noWrap/>
            <w:vAlign w:val="center"/>
          </w:tcPr>
          <w:p w14:paraId="5AE548A4">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 xml:space="preserve">联系电话：7559579             </w:t>
            </w:r>
          </w:p>
        </w:tc>
        <w:tc>
          <w:tcPr>
            <w:tcW w:w="9683" w:type="dxa"/>
            <w:gridSpan w:val="3"/>
            <w:tcBorders>
              <w:top w:val="nil"/>
              <w:left w:val="nil"/>
              <w:bottom w:val="nil"/>
              <w:right w:val="nil"/>
            </w:tcBorders>
            <w:shd w:val="clear" w:color="auto" w:fill="auto"/>
            <w:noWrap/>
            <w:vAlign w:val="center"/>
          </w:tcPr>
          <w:p w14:paraId="4C32D22D">
            <w:pPr>
              <w:widowControl/>
              <w:ind w:firstLine="3840" w:firstLineChars="1600"/>
              <w:jc w:val="left"/>
              <w:rPr>
                <w:rFonts w:ascii="仿宋_GB2312" w:hAnsi="仿宋_GB2312" w:eastAsia="仿宋_GB2312" w:cs="宋体"/>
                <w:kern w:val="0"/>
                <w:sz w:val="24"/>
              </w:rPr>
            </w:pPr>
            <w:r>
              <w:rPr>
                <w:rFonts w:hint="eastAsia" w:ascii="仿宋_GB2312" w:hAnsi="仿宋_GB2312" w:eastAsia="仿宋_GB2312" w:cs="宋体"/>
                <w:kern w:val="0"/>
                <w:sz w:val="24"/>
              </w:rPr>
              <w:t>联系电话：</w:t>
            </w:r>
          </w:p>
        </w:tc>
      </w:tr>
    </w:tbl>
    <w:p w14:paraId="0BE25C91">
      <w:pPr>
        <w:widowControl/>
        <w:spacing w:line="760" w:lineRule="exact"/>
        <w:ind w:right="-512" w:rightChars="-244"/>
        <w:jc w:val="left"/>
      </w:pPr>
    </w:p>
    <w:sectPr>
      <w:type w:val="continuous"/>
      <w:pgSz w:w="16838" w:h="11906" w:orient="landscape"/>
      <w:pgMar w:top="1418" w:right="1020" w:bottom="1418" w:left="85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160A8">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12</w:t>
    </w:r>
    <w:r>
      <w:fldChar w:fldCharType="end"/>
    </w:r>
  </w:p>
  <w:p w14:paraId="6AA759C1">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0FE92">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11</w:t>
    </w:r>
    <w:r>
      <w:fldChar w:fldCharType="end"/>
    </w:r>
  </w:p>
  <w:p w14:paraId="7C564A83">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12ED4C"/>
    <w:multiLevelType w:val="singleLevel"/>
    <w:tmpl w:val="5E12ED4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0DB2CAE"/>
    <w:rsid w:val="000C65E5"/>
    <w:rsid w:val="001B4A5E"/>
    <w:rsid w:val="00223032"/>
    <w:rsid w:val="002415A0"/>
    <w:rsid w:val="002B7337"/>
    <w:rsid w:val="003934B7"/>
    <w:rsid w:val="003A6FA7"/>
    <w:rsid w:val="00465DDE"/>
    <w:rsid w:val="00465FE8"/>
    <w:rsid w:val="004E6A04"/>
    <w:rsid w:val="0050204B"/>
    <w:rsid w:val="00504878"/>
    <w:rsid w:val="00526ADD"/>
    <w:rsid w:val="00570F8E"/>
    <w:rsid w:val="005D201B"/>
    <w:rsid w:val="006717E3"/>
    <w:rsid w:val="006F22D0"/>
    <w:rsid w:val="00707E03"/>
    <w:rsid w:val="00737F2F"/>
    <w:rsid w:val="00746DC5"/>
    <w:rsid w:val="00777373"/>
    <w:rsid w:val="007F2806"/>
    <w:rsid w:val="00880E7A"/>
    <w:rsid w:val="00884ACF"/>
    <w:rsid w:val="00893AEE"/>
    <w:rsid w:val="00A00A52"/>
    <w:rsid w:val="00A102CB"/>
    <w:rsid w:val="00A25497"/>
    <w:rsid w:val="00A935F6"/>
    <w:rsid w:val="00AE3C6F"/>
    <w:rsid w:val="00AF1C53"/>
    <w:rsid w:val="00B36381"/>
    <w:rsid w:val="00B4303F"/>
    <w:rsid w:val="00C221C3"/>
    <w:rsid w:val="00C364C7"/>
    <w:rsid w:val="00DF130B"/>
    <w:rsid w:val="00E359F5"/>
    <w:rsid w:val="00E870B8"/>
    <w:rsid w:val="00EC7842"/>
    <w:rsid w:val="03224FA9"/>
    <w:rsid w:val="052A26EE"/>
    <w:rsid w:val="0AC01B97"/>
    <w:rsid w:val="0C4D20A3"/>
    <w:rsid w:val="0F014F93"/>
    <w:rsid w:val="109776BD"/>
    <w:rsid w:val="1B9E03E8"/>
    <w:rsid w:val="1DD27F86"/>
    <w:rsid w:val="1E861D2A"/>
    <w:rsid w:val="20DB2CAE"/>
    <w:rsid w:val="215D04AF"/>
    <w:rsid w:val="224F7111"/>
    <w:rsid w:val="22DF6371"/>
    <w:rsid w:val="234A3F18"/>
    <w:rsid w:val="240653BA"/>
    <w:rsid w:val="299D3F53"/>
    <w:rsid w:val="29B210AD"/>
    <w:rsid w:val="29E4176D"/>
    <w:rsid w:val="2D412A32"/>
    <w:rsid w:val="300A54A1"/>
    <w:rsid w:val="338F06D7"/>
    <w:rsid w:val="38AD3624"/>
    <w:rsid w:val="3AA90214"/>
    <w:rsid w:val="3D145A6E"/>
    <w:rsid w:val="3D2C725B"/>
    <w:rsid w:val="40104C12"/>
    <w:rsid w:val="41FC4811"/>
    <w:rsid w:val="463B3FCD"/>
    <w:rsid w:val="48DD0BCB"/>
    <w:rsid w:val="4AA9785F"/>
    <w:rsid w:val="50686F44"/>
    <w:rsid w:val="51B06166"/>
    <w:rsid w:val="577812BA"/>
    <w:rsid w:val="59BA6DA6"/>
    <w:rsid w:val="5C6E4D42"/>
    <w:rsid w:val="5E2751A9"/>
    <w:rsid w:val="665F1E79"/>
    <w:rsid w:val="6BE444CA"/>
    <w:rsid w:val="6C741C7A"/>
    <w:rsid w:val="6CAA64F5"/>
    <w:rsid w:val="6F5D1EF6"/>
    <w:rsid w:val="711C7B1B"/>
    <w:rsid w:val="787D4328"/>
    <w:rsid w:val="7A5063CD"/>
    <w:rsid w:val="7BC42478"/>
    <w:rsid w:val="7D80447E"/>
    <w:rsid w:val="7EF23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 id="V:Rule2"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 w:val="24"/>
      <w:szCs w:val="20"/>
    </w:rPr>
  </w:style>
  <w:style w:type="paragraph" w:styleId="3">
    <w:name w:val="Body Text Indent 2"/>
    <w:basedOn w:val="1"/>
    <w:link w:val="13"/>
    <w:qFormat/>
    <w:uiPriority w:val="0"/>
    <w:pPr>
      <w:spacing w:line="360" w:lineRule="auto"/>
      <w:ind w:firstLine="560" w:firstLineChars="200"/>
    </w:pPr>
    <w:rPr>
      <w:rFonts w:ascii="宋体"/>
      <w:sz w:val="2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link w:val="14"/>
    <w:qFormat/>
    <w:uiPriority w:val="0"/>
    <w:pPr>
      <w:spacing w:line="320" w:lineRule="exact"/>
      <w:ind w:left="1" w:firstLine="560" w:firstLineChars="200"/>
    </w:pPr>
    <w:rPr>
      <w:rFonts w:ascii="仿宋_GB2312" w:eastAsia="仿宋_GB2312"/>
      <w:sz w:val="28"/>
    </w:rPr>
  </w:style>
  <w:style w:type="paragraph" w:styleId="7">
    <w:name w:val="Normal (Web)"/>
    <w:basedOn w:val="1"/>
    <w:qFormat/>
    <w:uiPriority w:val="0"/>
    <w:pPr>
      <w:widowControl/>
      <w:jc w:val="left"/>
    </w:pPr>
    <w:rPr>
      <w:rFonts w:ascii="宋体" w:hAnsi="宋体" w:cs="宋体"/>
      <w:kern w:val="0"/>
      <w:sz w:val="24"/>
    </w:rPr>
  </w:style>
  <w:style w:type="paragraph" w:styleId="8">
    <w:name w:val="Title"/>
    <w:basedOn w:val="1"/>
    <w:next w:val="1"/>
    <w:qFormat/>
    <w:uiPriority w:val="0"/>
    <w:pPr>
      <w:spacing w:before="240" w:after="60"/>
      <w:jc w:val="center"/>
      <w:outlineLvl w:val="0"/>
    </w:pPr>
    <w:rPr>
      <w:rFonts w:ascii="Cambria" w:hAnsi="Cambria"/>
      <w:b/>
      <w:bCs/>
      <w:sz w:val="32"/>
      <w:szCs w:val="32"/>
    </w:rPr>
  </w:style>
  <w:style w:type="character" w:styleId="11">
    <w:name w:val="page number"/>
    <w:basedOn w:val="10"/>
    <w:qFormat/>
    <w:uiPriority w:val="0"/>
  </w:style>
  <w:style w:type="character" w:customStyle="1" w:styleId="12">
    <w:name w:val="页眉 Char"/>
    <w:basedOn w:val="10"/>
    <w:link w:val="5"/>
    <w:qFormat/>
    <w:uiPriority w:val="0"/>
    <w:rPr>
      <w:rFonts w:ascii="Times New Roman" w:hAnsi="Times New Roman" w:eastAsia="宋体" w:cs="Times New Roman"/>
      <w:kern w:val="2"/>
      <w:sz w:val="18"/>
      <w:szCs w:val="18"/>
    </w:rPr>
  </w:style>
  <w:style w:type="character" w:customStyle="1" w:styleId="13">
    <w:name w:val="正文文本缩进 2 Char"/>
    <w:basedOn w:val="10"/>
    <w:link w:val="3"/>
    <w:qFormat/>
    <w:uiPriority w:val="0"/>
    <w:rPr>
      <w:rFonts w:ascii="宋体" w:hAnsi="Times New Roman" w:eastAsia="宋体" w:cs="Times New Roman"/>
      <w:kern w:val="2"/>
      <w:sz w:val="28"/>
      <w:szCs w:val="24"/>
    </w:rPr>
  </w:style>
  <w:style w:type="character" w:customStyle="1" w:styleId="14">
    <w:name w:val="正文文本缩进 3 Char"/>
    <w:basedOn w:val="10"/>
    <w:link w:val="6"/>
    <w:qFormat/>
    <w:uiPriority w:val="0"/>
    <w:rPr>
      <w:rFonts w:ascii="仿宋_GB2312" w:hAnsi="Times New Roman" w:eastAsia="仿宋_GB2312" w:cs="Times New Roman"/>
      <w:kern w:val="2"/>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7801</Words>
  <Characters>7837</Characters>
  <Lines>63</Lines>
  <Paragraphs>17</Paragraphs>
  <TotalTime>13</TotalTime>
  <ScaleCrop>false</ScaleCrop>
  <LinksUpToDate>false</LinksUpToDate>
  <CharactersWithSpaces>8753</CharactersWithSpaces>
  <Application>WPS Office_12.1.0.24014_F1E327BC-269C-435d-A152-05C5408002CA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2021-12-11T02:28:00Z</dcterms:created>
  <dc:creator>Administrator</dc:creator>
  <cp:lastModifiedBy>1</cp:lastModifiedBy>
  <dcterms:modified xsi:type="dcterms:W3CDTF">2025-11-25T06:40:33Z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2052-12.1.0.24014</vt:lpwstr>
  </property>
  <property fmtid="{D5CDD505-2E9C-101B-9397-08002B2CF9AE}" pid="3" name="KSOTemplateDocerSaveRecord">
    <vt:lpwstr>eyJoZGlkIjoiYjVmMzM2ZWYyZmYwNmM3NWUyMzNjMGIwZmVhOGMzZDgiLCJ1c2VySWQiOiI1NjA0OTE5MDUifQ==</vt:lpwstr>
  </property>
  <property fmtid="{D5CDD505-2E9C-101B-9397-08002B2CF9AE}" pid="4" name="ICV">
    <vt:lpwstr>4375CBC8F6F1484BB76EC38D63315B04_12</vt:lpwstr>
  </property>
</Properties>
</file>